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2061" w14:textId="3ECDC29A" w:rsidR="001E28B7" w:rsidRPr="001E28B7" w:rsidRDefault="001E28B7" w:rsidP="001E28B7">
      <w:pPr>
        <w:pStyle w:val="Title"/>
      </w:pPr>
      <w:r>
        <w:t>OVERCOMING MODELING CHALLENGES IN THERMOSET SHAPE MEMORY POLYMERS: A MACHINE LEARNING APPROACH</w:t>
      </w:r>
    </w:p>
    <w:p w14:paraId="5C36997F" w14:textId="1345A987" w:rsidR="00A87785" w:rsidRDefault="00A87785" w:rsidP="00A87785">
      <w:pPr>
        <w:pStyle w:val="Heading1"/>
      </w:pPr>
      <w:r>
        <w:t>Abstract</w:t>
      </w:r>
    </w:p>
    <w:p w14:paraId="403F3E7B" w14:textId="7CCF6A64" w:rsidR="00A87785" w:rsidRPr="00A87785" w:rsidRDefault="00A87785" w:rsidP="00A87785">
      <w:r>
        <w:t>[insert abstract here]</w:t>
      </w:r>
    </w:p>
    <w:p w14:paraId="4DADEB54" w14:textId="0BD65AE2" w:rsidR="00AF3B48" w:rsidRDefault="00A87785" w:rsidP="00AF3B48">
      <w:pPr>
        <w:pStyle w:val="Heading1"/>
      </w:pPr>
      <w:r>
        <w:t>Introduction</w:t>
      </w:r>
    </w:p>
    <w:p w14:paraId="218B793C" w14:textId="6A640BD0" w:rsidR="001E28B7" w:rsidRDefault="001E723A" w:rsidP="001E28B7">
      <w:r w:rsidRPr="00AA3D69">
        <w:rPr>
          <w:rFonts w:cs="Times New Roman"/>
        </w:rPr>
        <w:t>Shape-memory polymers (SMPs) are smart stimuli-responsive polymeric materials that respond to external stimuli including temperature, light irradiation, solvents, electrical current, magnetic field, and electromagnetic field to assume a memorized permanent shape that may be programmed</w:t>
      </w:r>
      <w:r>
        <w:rPr>
          <w:rFonts w:cs="Times New Roman"/>
        </w:rPr>
        <w:fldChar w:fldCharType="begin" w:fldLock="1"/>
      </w:r>
      <w:r w:rsidR="000C1B2F">
        <w:rPr>
          <w:rFonts w:cs="Times New Roman"/>
        </w:rPr>
        <w:instrText>ADDIN CSL_CITATION {"citationItems":[{"id":"ITEM-1","itemData":{"DOI":"10.1021/acsomega.0c05839","ISSN":"24701343","abstract":"Shape-memory polymer composite (SMPC) blends with thermo-responsive shape memorizing capability have received increasing interest and have been a grooming research area due to their various potential applications. In this work, we report three thermo-responsive SMPCs derived from poly(ϵ-caprolactone) (PCL) and the polystyrene-block-polybutadiene-block-polystyrene-tri-block copolymer (SBS) encapsulated with CuO, Fe2O3, and CuFe2O4, namely, SMPC-CuO, SMPC-Fe2O3, and SMPC-CuFe2O4, respectively. We have also synthesized the neat shape-memory polymer matrix SMP in the context of the effect of the metal oxide encapsulates on the shape-memory property. Neat SBS rubber and PCL are used as the polymer-elastomer blend matrix to form SMP. The objective of this study is to understand the effect of these three metal oxide nanofillers encapsulated within the SMP matrix and their thermal, mechanical, and shape-memory properties. Morphological, thermal, mechanical, and shape-memory properties of the prepared SMPCs are completely characterized. It is revealed that the addition of nano-metallic-oxide fillers into the polymeric matrix significantly improved the overall properties of SMPCs. The tensile test confirmed that SMPC-CuFe2O4 possesses a high tensile modulus and is found to be very rigid when compared to other SMPCs. The shape fixing property is found in the increasing order as follows: SMPC-CuO &gt; SMPC-Fe2O3 &gt; SMP &gt; SMPC-CuFe2O4. The better thermal, mechanical, and shape-memory performances were shown by the SMPC-Fe2O3 composite, and thus, it can be considered as the better shape-memory polymer nanocomposite among all others. An optimum storage modulus was attained by SMPC-Fe2O3 among the SMPCs. More interestingly, we have developed a microvalve actuator system using SMPC-Fe2O3, which could be useful for promising microsystem applications.","author":[{"dropping-particle":"","family":"Gopinath","given":"Sithara","non-dropping-particle":"","parse-names":false,"suffix":""},{"dropping-particle":"","family":"Adarsh","given":"Nayarassery N.","non-dropping-particle":"","parse-names":false,"suffix":""},{"dropping-particle":"","family":"Nair","given":"Pankajakshan Radhakrishnan","non-dropping-particle":"","parse-names":false,"suffix":""},{"dropping-particle":"","family":"Mathew","given":"Suresh","non-dropping-particle":"","parse-names":false,"suffix":""}],"container-title":"ACS Omega","id":"ITEM-1","issue":"9","issued":{"date-parts":[["2021","3","9"]]},"page":"6261-6273","publisher":"American Chemical Society","title":"Shape-Memory Polymer Nanocomposites of Poly(ϵ-caprolactone) with the Polystyrene- block-polybutadiene- block-polystyrene-tri- block Copolymer Encapsulated with Metal Oxides","type":"article-journal","volume":"6"},"uris":["http://www.mendeley.com/documents/?uuid=4bf3917a-ec29-49e1-849e-df27ac93cfb0"]}],"mendeley":{"formattedCitation":"[1]","plainTextFormattedCitation":"[1]","previouslyFormattedCitation":"[1]"},"properties":{"noteIndex":0},"schema":"https://github.com/citation-style-language/schema/raw/master/csl-citation.json"}</w:instrText>
      </w:r>
      <w:r>
        <w:rPr>
          <w:rFonts w:cs="Times New Roman"/>
        </w:rPr>
        <w:fldChar w:fldCharType="separate"/>
      </w:r>
      <w:r w:rsidRPr="001E723A">
        <w:rPr>
          <w:rFonts w:cs="Times New Roman"/>
          <w:noProof/>
        </w:rPr>
        <w:t>[1]</w:t>
      </w:r>
      <w:r>
        <w:rPr>
          <w:rFonts w:cs="Times New Roman"/>
        </w:rPr>
        <w:fldChar w:fldCharType="end"/>
      </w:r>
      <w:r>
        <w:rPr>
          <w:rFonts w:cs="Times New Roman"/>
        </w:rPr>
        <w:t xml:space="preserve">. </w:t>
      </w:r>
      <w:r w:rsidR="000C1B2F" w:rsidRPr="2E4F4EDB">
        <w:rPr>
          <w:rFonts w:cs="Times New Roman"/>
        </w:rPr>
        <w:t>Due to their self-healing capabilities, shape memory polymers are widely used in aviation, medicine, fashion, and structural models</w:t>
      </w:r>
      <w:r w:rsidR="00D47A70">
        <w:rPr>
          <w:rFonts w:cs="Times New Roman"/>
        </w:rPr>
        <w:t xml:space="preserve"> </w:t>
      </w:r>
      <w:r w:rsidR="000C1B2F">
        <w:rPr>
          <w:rFonts w:cs="Times New Roman"/>
        </w:rPr>
        <w:fldChar w:fldCharType="begin" w:fldLock="1"/>
      </w:r>
      <w:r w:rsidR="00D47A70">
        <w:rPr>
          <w:rFonts w:cs="Times New Roman"/>
        </w:rPr>
        <w:instrText>ADDIN CSL_CITATION {"citationItems":[{"id":"ITEM-1","itemData":{"DOI":"10.1021/acsami.1c20947","ISSN":"19448252","PMID":"34878247","abstract":"Ultraviolet (UV)-curable thermoset shape memory polymers (TSMPs) with high recovery stress but mild glass transition temperature (Tg) are highly desired for 3D/4D printing lightweight load-bearing structures and devices. However, a bottleneck is that high recovery stress usually means high Tg. For a few TSMPs with high recovery stress, their Tg values are close to the decomposition temperature, and thus, the shape memory effect cannot be triggered safely and effectively. While machine learning (ML) has served as a useful tool to discover new materials and drugs, the grand challenge of using ML to discover new TSMPs persists in the very limited data available. Here, we report an enhanced ML approach by combining the transfer learning–variational autoencoder with a weighted-vector combination method. By learning a large data set with drug molecules in a pretraining process, we were able to effectively map the TSMPs to a hidden space that is much closer to a Gaussian distribution. Through this approach, we created a large compositional space and were able to discover five new types of UV-curable TSMPs with desired properties, one of which was validated by the experiments. Our contribution includes (1) representing the features of TSMPs by drug molecules to overcome the barrier of a limited training data set and (2) developing a ML framework that is able to overcome the barrier of mapping the molar ratio information. It is shown that this approach can effectively learn TSMP features by utilizing the relatedness between the data-scarce (and biased) TSMP target and data-abundant drug source, and the result is much more accurate and more robust than the benchmark set by the support vector machine method using direct label encoding and Morgan encoding. Therefore, it is believed that this framework is a state-of-the-art study in the TSMP field. This study opens new opportunities for discovering not only new TSMPs but also other thermoset polymers.","author":[{"dropping-particle":"","family":"Yan","given":"Cheng","non-dropping-particle":"","parse-names":false,"suffix":""},{"dropping-particle":"","family":"Feng","given":"Xiaming","non-dropping-particle":"","parse-names":false,"suffix":""},{"dropping-particle":"","family":"Li","given":"Guoqiang","non-dropping-particle":"","parse-names":false,"suffix":""}],"container-title":"ACS Applied Materials and Interfaces","id":"ITEM-1","issue":"50","issued":{"date-parts":[["2021"]]},"page":"60508-60521","title":"From Drug Molecules to Thermoset Shape Memory Polymers: A Machine Learning Approach","type":"article-journal","volume":"13"},"uris":["http://www.mendeley.com/documents/?uuid=25c442a6-a366-452c-a2b4-55b2ecaf0812"]}],"mendeley":{"formattedCitation":"[2]","plainTextFormattedCitation":"[2]","previouslyFormattedCitation":"[2]"},"properties":{"noteIndex":0},"schema":"https://github.com/citation-style-language/schema/raw/master/csl-citation.json"}</w:instrText>
      </w:r>
      <w:r w:rsidR="000C1B2F">
        <w:rPr>
          <w:rFonts w:cs="Times New Roman"/>
        </w:rPr>
        <w:fldChar w:fldCharType="separate"/>
      </w:r>
      <w:r w:rsidR="000C1B2F" w:rsidRPr="000C1B2F">
        <w:rPr>
          <w:rFonts w:cs="Times New Roman"/>
          <w:noProof/>
        </w:rPr>
        <w:t>[2]</w:t>
      </w:r>
      <w:r w:rsidR="000C1B2F">
        <w:rPr>
          <w:rFonts w:cs="Times New Roman"/>
        </w:rPr>
        <w:fldChar w:fldCharType="end"/>
      </w:r>
      <w:r w:rsidR="000C1B2F">
        <w:rPr>
          <w:rFonts w:cs="Times New Roman"/>
        </w:rPr>
        <w:t xml:space="preserve">. </w:t>
      </w:r>
      <w:r w:rsidR="00D47A70">
        <w:rPr>
          <w:rFonts w:cs="Times New Roman"/>
        </w:rPr>
        <w:t xml:space="preserve"> </w:t>
      </w:r>
      <w:r w:rsidR="00D47A70">
        <w:t>Predicting the thermomechanical properties of thermoset shape memory polymers (TSMPs) is crucial for their effective design and application. However, the complex topological nature of TSMPs presents a significant challenge in modeling these properties, often resulting in time-consuming processes.</w:t>
      </w:r>
    </w:p>
    <w:p w14:paraId="73A16F2A" w14:textId="17F1401B" w:rsidR="00AC3220" w:rsidRDefault="00AC3220" w:rsidP="00AC3220">
      <w:pPr>
        <w:pStyle w:val="Heading2"/>
      </w:pPr>
      <w:r>
        <w:t>Objective</w:t>
      </w:r>
    </w:p>
    <w:p w14:paraId="08889571" w14:textId="14C2CB04" w:rsidR="00AC3220" w:rsidRPr="00AC3220" w:rsidRDefault="00AC3220" w:rsidP="00AC3220">
      <w:r>
        <w:t>Predicting the thermomechanical properties of thermoset shape memory polymers (TSMPs) is crucial for their effective design and application. However, the complex topological nature of TSMPs presents a significant challenge in modeling these properties, often resulting in time-consuming processes. To address this challenge and expedite the prediction of the glassy modulus of shape memory polymers (SMPs), we propose the application of machine learning (ML) techniques, aiming to overcome the limitations inherent in traditional modeling methods.</w:t>
      </w:r>
    </w:p>
    <w:p w14:paraId="59F1516F" w14:textId="166D8B20" w:rsidR="00A87785" w:rsidRDefault="00A87785" w:rsidP="00A87785">
      <w:pPr>
        <w:pStyle w:val="Heading1"/>
      </w:pPr>
      <w:r>
        <w:t>Methods</w:t>
      </w:r>
    </w:p>
    <w:p w14:paraId="55D8ABBB" w14:textId="64EFBB6B" w:rsidR="005F3C89" w:rsidRDefault="005F3C89" w:rsidP="005F3C89">
      <w:r>
        <w:t>In this study, we utilized a small datas</w:t>
      </w:r>
      <w:r>
        <w:t>et</w:t>
      </w:r>
      <w:r>
        <w:t xml:space="preserve"> obtained from various references to train our ML model. Ninety percent of the data was used for training and the remainder for validation</w:t>
      </w:r>
      <w:r>
        <w:t>.</w:t>
      </w:r>
    </w:p>
    <w:p w14:paraId="1EC72483" w14:textId="4FA4CDF8" w:rsidR="005F3C89" w:rsidRDefault="005F3C89" w:rsidP="005F3C89">
      <w:r>
        <w:rPr>
          <w:noProof/>
        </w:rPr>
        <w:drawing>
          <wp:inline distT="0" distB="0" distL="0" distR="0" wp14:anchorId="0EDAE391" wp14:editId="07680DEB">
            <wp:extent cx="6109169" cy="1999104"/>
            <wp:effectExtent l="0" t="0" r="0" b="0"/>
            <wp:docPr id="132274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3699" cy="2003859"/>
                    </a:xfrm>
                    <a:prstGeom prst="rect">
                      <a:avLst/>
                    </a:prstGeom>
                    <a:noFill/>
                  </pic:spPr>
                </pic:pic>
              </a:graphicData>
            </a:graphic>
          </wp:inline>
        </w:drawing>
      </w:r>
    </w:p>
    <w:p w14:paraId="7553E792" w14:textId="781FC171" w:rsidR="005F3C89" w:rsidRDefault="005F3C89" w:rsidP="005F3C89">
      <w:pPr>
        <w:pStyle w:val="Heading3"/>
      </w:pPr>
      <w:r>
        <w:t>ML Architecture</w:t>
      </w:r>
    </w:p>
    <w:p w14:paraId="1E7B2555" w14:textId="77777777" w:rsidR="005F3C89" w:rsidRPr="005F3C89" w:rsidRDefault="005F3C89" w:rsidP="005F3C89"/>
    <w:p w14:paraId="3D0BD8E8" w14:textId="69F3DA2A" w:rsidR="00A87785" w:rsidRDefault="00A87785" w:rsidP="00A87785">
      <w:pPr>
        <w:pStyle w:val="Heading1"/>
      </w:pPr>
      <w:r>
        <w:t>Results</w:t>
      </w:r>
    </w:p>
    <w:p w14:paraId="01374701" w14:textId="48D94F91" w:rsidR="00A87785" w:rsidRDefault="00A87785" w:rsidP="005F3C89">
      <w:pPr>
        <w:pStyle w:val="Heading1"/>
      </w:pPr>
      <w:r>
        <w:t>Conclusion</w:t>
      </w:r>
    </w:p>
    <w:p w14:paraId="559770B6" w14:textId="2BD47FEC" w:rsidR="00A87785" w:rsidRDefault="00A87785" w:rsidP="00A87785">
      <w:pPr>
        <w:pStyle w:val="Heading1"/>
      </w:pPr>
      <w:r>
        <w:t>References</w:t>
      </w:r>
    </w:p>
    <w:p w14:paraId="3A31283B" w14:textId="5BB166F4" w:rsidR="005F3C89" w:rsidRPr="005F3C89" w:rsidRDefault="00D47A70" w:rsidP="005F3C89">
      <w:pPr>
        <w:widowControl w:val="0"/>
        <w:autoSpaceDE w:val="0"/>
        <w:autoSpaceDN w:val="0"/>
        <w:adjustRightInd w:val="0"/>
        <w:ind w:left="640" w:hanging="640"/>
        <w:rPr>
          <w:rFonts w:cs="Times New Roman"/>
          <w:noProof/>
          <w:kern w:val="0"/>
          <w:szCs w:val="24"/>
        </w:rPr>
      </w:pPr>
      <w:r>
        <w:fldChar w:fldCharType="begin" w:fldLock="1"/>
      </w:r>
      <w:r>
        <w:instrText xml:space="preserve">ADDIN Mendeley Bibliography CSL_BIBLIOGRAPHY </w:instrText>
      </w:r>
      <w:r>
        <w:fldChar w:fldCharType="separate"/>
      </w:r>
      <w:r w:rsidR="005F3C89" w:rsidRPr="005F3C89">
        <w:rPr>
          <w:rFonts w:cs="Times New Roman"/>
          <w:noProof/>
          <w:kern w:val="0"/>
          <w:szCs w:val="24"/>
        </w:rPr>
        <w:t>[1]</w:t>
      </w:r>
      <w:r w:rsidR="005F3C89" w:rsidRPr="005F3C89">
        <w:rPr>
          <w:rFonts w:cs="Times New Roman"/>
          <w:noProof/>
          <w:kern w:val="0"/>
          <w:szCs w:val="24"/>
        </w:rPr>
        <w:tab/>
        <w:t xml:space="preserve">S. Gopinath, N. N. Adarsh, P. R. Nair, and S. Mathew, “Shape-Memory Polymer Nanocomposites of Poly(ϵ-caprolactone) with the Polystyrene- block-polybutadiene- block-polystyrene-tri- block Copolymer Encapsulated with Metal Oxides,” </w:t>
      </w:r>
      <w:r w:rsidR="005F3C89" w:rsidRPr="005F3C89">
        <w:rPr>
          <w:rFonts w:cs="Times New Roman"/>
          <w:i/>
          <w:iCs/>
          <w:noProof/>
          <w:kern w:val="0"/>
          <w:szCs w:val="24"/>
        </w:rPr>
        <w:t>ACS Omega</w:t>
      </w:r>
      <w:r w:rsidR="005F3C89" w:rsidRPr="005F3C89">
        <w:rPr>
          <w:rFonts w:cs="Times New Roman"/>
          <w:noProof/>
          <w:kern w:val="0"/>
          <w:szCs w:val="24"/>
        </w:rPr>
        <w:t>, vol. 6, no. 9, pp. 6261–6273, Mar. 2021, doi: 10.1021/acsomega.0c05839.</w:t>
      </w:r>
    </w:p>
    <w:p w14:paraId="0AE12D36" w14:textId="77777777" w:rsidR="005F3C89" w:rsidRPr="005F3C89" w:rsidRDefault="005F3C89" w:rsidP="005F3C89">
      <w:pPr>
        <w:widowControl w:val="0"/>
        <w:autoSpaceDE w:val="0"/>
        <w:autoSpaceDN w:val="0"/>
        <w:adjustRightInd w:val="0"/>
        <w:ind w:left="640" w:hanging="640"/>
        <w:rPr>
          <w:rFonts w:cs="Times New Roman"/>
          <w:noProof/>
        </w:rPr>
      </w:pPr>
      <w:r w:rsidRPr="005F3C89">
        <w:rPr>
          <w:rFonts w:cs="Times New Roman"/>
          <w:noProof/>
          <w:kern w:val="0"/>
          <w:szCs w:val="24"/>
        </w:rPr>
        <w:t>[2]</w:t>
      </w:r>
      <w:r w:rsidRPr="005F3C89">
        <w:rPr>
          <w:rFonts w:cs="Times New Roman"/>
          <w:noProof/>
          <w:kern w:val="0"/>
          <w:szCs w:val="24"/>
        </w:rPr>
        <w:tab/>
        <w:t xml:space="preserve">C. Yan, X. Feng, and G. Li, “From Drug Molecules to Thermoset Shape Memory Polymers: A </w:t>
      </w:r>
      <w:r w:rsidRPr="005F3C89">
        <w:rPr>
          <w:rFonts w:cs="Times New Roman"/>
          <w:noProof/>
          <w:kern w:val="0"/>
          <w:szCs w:val="24"/>
        </w:rPr>
        <w:lastRenderedPageBreak/>
        <w:t xml:space="preserve">Machine Learning Approach,” </w:t>
      </w:r>
      <w:r w:rsidRPr="005F3C89">
        <w:rPr>
          <w:rFonts w:cs="Times New Roman"/>
          <w:i/>
          <w:iCs/>
          <w:noProof/>
          <w:kern w:val="0"/>
          <w:szCs w:val="24"/>
        </w:rPr>
        <w:t>ACS Appl. Mater. Interfaces</w:t>
      </w:r>
      <w:r w:rsidRPr="005F3C89">
        <w:rPr>
          <w:rFonts w:cs="Times New Roman"/>
          <w:noProof/>
          <w:kern w:val="0"/>
          <w:szCs w:val="24"/>
        </w:rPr>
        <w:t>, vol. 13, no. 50, pp. 60508–60521, 2021, doi: 10.1021/acsami.1c20947.</w:t>
      </w:r>
    </w:p>
    <w:p w14:paraId="67DFE8BD" w14:textId="255731B3" w:rsidR="00D47A70" w:rsidRPr="00D47A70" w:rsidRDefault="00D47A70" w:rsidP="00D47A70">
      <w:r>
        <w:fldChar w:fldCharType="end"/>
      </w:r>
    </w:p>
    <w:sectPr w:rsidR="00D47A70" w:rsidRPr="00D4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76"/>
    <w:rsid w:val="000C1B2F"/>
    <w:rsid w:val="00160CFE"/>
    <w:rsid w:val="001E28B7"/>
    <w:rsid w:val="001E723A"/>
    <w:rsid w:val="005F3C89"/>
    <w:rsid w:val="008A7F76"/>
    <w:rsid w:val="00A87785"/>
    <w:rsid w:val="00AC3220"/>
    <w:rsid w:val="00AE19D0"/>
    <w:rsid w:val="00AF3B48"/>
    <w:rsid w:val="00BB0529"/>
    <w:rsid w:val="00CE0009"/>
    <w:rsid w:val="00D47A70"/>
    <w:rsid w:val="00DA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892DED"/>
  <w15:chartTrackingRefBased/>
  <w15:docId w15:val="{4988AA8E-7424-497B-8C06-DC4CA942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009"/>
    <w:pPr>
      <w:spacing w:line="240" w:lineRule="auto"/>
    </w:pPr>
    <w:rPr>
      <w:rFonts w:ascii="Times New Roman" w:hAnsi="Times New Roman"/>
      <w:lang w:val="en-CA"/>
    </w:rPr>
  </w:style>
  <w:style w:type="paragraph" w:styleId="Heading1">
    <w:name w:val="heading 1"/>
    <w:basedOn w:val="Normal"/>
    <w:next w:val="Normal"/>
    <w:link w:val="Heading1Char"/>
    <w:uiPriority w:val="9"/>
    <w:qFormat/>
    <w:rsid w:val="00A87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32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785"/>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A8778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785"/>
    <w:rPr>
      <w:rFonts w:asciiTheme="majorHAnsi" w:eastAsiaTheme="majorEastAsia" w:hAnsiTheme="majorHAnsi" w:cstheme="majorBidi"/>
      <w:spacing w:val="-10"/>
      <w:kern w:val="28"/>
      <w:sz w:val="56"/>
      <w:szCs w:val="56"/>
      <w:lang w:val="en-CA"/>
    </w:rPr>
  </w:style>
  <w:style w:type="character" w:customStyle="1" w:styleId="Heading2Char">
    <w:name w:val="Heading 2 Char"/>
    <w:basedOn w:val="DefaultParagraphFont"/>
    <w:link w:val="Heading2"/>
    <w:uiPriority w:val="9"/>
    <w:rsid w:val="00AC3220"/>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rsid w:val="00AC3220"/>
    <w:rPr>
      <w:rFonts w:asciiTheme="majorHAnsi" w:eastAsiaTheme="majorEastAsia" w:hAnsiTheme="majorHAnsi" w:cstheme="majorBidi"/>
      <w:color w:val="1F3763" w:themeColor="accent1" w:themeShade="7F"/>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01D43-3A63-4E5A-9637-BC515945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2</Pages>
  <Words>1252</Words>
  <Characters>7275</Characters>
  <Application>Microsoft Office Word</Application>
  <DocSecurity>0</DocSecurity>
  <Lines>134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 amponsah</dc:creator>
  <cp:keywords/>
  <dc:description/>
  <cp:lastModifiedBy>ama amponsah</cp:lastModifiedBy>
  <cp:revision>3</cp:revision>
  <dcterms:created xsi:type="dcterms:W3CDTF">2023-08-25T16:43:00Z</dcterms:created>
  <dcterms:modified xsi:type="dcterms:W3CDTF">2023-08-26T14:28:00Z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7ebcf15685277906e0cfb7d5911a89cd3d069d29f829777a30ddbd30aabb5c16</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7740022f-1b70-352a-9eb3-c52e094be046</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12th edition - Harvard</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(deprecated)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