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6E08" w14:textId="1395EC68" w:rsidR="00BB0529" w:rsidRDefault="00E1008A" w:rsidP="00E1008A">
      <w:pPr>
        <w:pStyle w:val="Heading1"/>
      </w:pPr>
      <w:r>
        <w:t>Machine Learning Tailored Dynamic</w:t>
      </w:r>
      <w:r w:rsidR="00465BDE">
        <w:t xml:space="preserve"> Mechanical Analysis</w:t>
      </w:r>
      <w:r w:rsidR="00D31C95">
        <w:t xml:space="preserve"> </w:t>
      </w:r>
      <w:r w:rsidR="00465BDE">
        <w:t>(DMA) curve</w:t>
      </w:r>
      <w:r w:rsidR="00D31C95">
        <w:t xml:space="preserve"> for </w:t>
      </w:r>
      <w:r w:rsidR="00511086">
        <w:t>S</w:t>
      </w:r>
      <w:r w:rsidR="00D31C95">
        <w:t xml:space="preserve">hape </w:t>
      </w:r>
      <w:r w:rsidR="00511086">
        <w:t>M</w:t>
      </w:r>
      <w:r w:rsidR="00D31C95">
        <w:t xml:space="preserve">emory </w:t>
      </w:r>
      <w:r w:rsidR="00511086">
        <w:t>P</w:t>
      </w:r>
      <w:r w:rsidR="00D31C95">
        <w:t>olymers.</w:t>
      </w:r>
    </w:p>
    <w:p w14:paraId="4437AC6A" w14:textId="77777777" w:rsidR="00D31C95" w:rsidRDefault="00D31C95" w:rsidP="00D31C95"/>
    <w:p w14:paraId="40E3F796" w14:textId="1C67F37C" w:rsidR="00D31C95" w:rsidRDefault="00D31C95" w:rsidP="00D31C95">
      <w:pPr>
        <w:pStyle w:val="Heading2"/>
      </w:pPr>
      <w:r>
        <w:t>Abstract</w:t>
      </w:r>
    </w:p>
    <w:p w14:paraId="7785930F" w14:textId="77777777" w:rsidR="00D31C95" w:rsidRDefault="00D31C95" w:rsidP="00D31C95"/>
    <w:p w14:paraId="3CC12F57" w14:textId="3247ABAF" w:rsidR="00AD285E" w:rsidRDefault="00AD285E" w:rsidP="00AD285E">
      <w:pPr>
        <w:pStyle w:val="Heading2"/>
      </w:pPr>
      <w:r>
        <w:t>Introduction</w:t>
      </w:r>
    </w:p>
    <w:p w14:paraId="3B4EF914" w14:textId="6A43018B" w:rsidR="00AD285E" w:rsidRDefault="00496ABF" w:rsidP="00496ABF">
      <w:pPr>
        <w:pStyle w:val="Heading2"/>
      </w:pPr>
      <w:r>
        <w:t>Methods</w:t>
      </w:r>
    </w:p>
    <w:p w14:paraId="1C99875F" w14:textId="0E99932D" w:rsidR="00496ABF" w:rsidRDefault="001F521B" w:rsidP="00496ABF">
      <w:r>
        <w:t xml:space="preserve">In this section, we present the procedures of our work. This </w:t>
      </w:r>
      <w:r w:rsidR="00C46EB7">
        <w:t>includes</w:t>
      </w:r>
      <w:r>
        <w:t xml:space="preserve"> </w:t>
      </w:r>
      <w:r w:rsidR="0058077D">
        <w:t xml:space="preserve">the establishment </w:t>
      </w:r>
      <w:r w:rsidR="005D382B">
        <w:t xml:space="preserve">of </w:t>
      </w:r>
      <w:r w:rsidR="004C79F0">
        <w:t xml:space="preserve">four datasets, </w:t>
      </w:r>
      <w:r w:rsidR="00F661E4">
        <w:t xml:space="preserve">the </w:t>
      </w:r>
      <w:r w:rsidR="004C79F0">
        <w:t>establishment of four</w:t>
      </w:r>
      <w:r w:rsidR="00F661E4">
        <w:t xml:space="preserve"> </w:t>
      </w:r>
      <w:r w:rsidR="0058077D">
        <w:t>machine</w:t>
      </w:r>
      <w:r w:rsidR="00C46EB7">
        <w:t xml:space="preserve"> </w:t>
      </w:r>
      <w:r w:rsidR="0058077D">
        <w:t>learning models</w:t>
      </w:r>
      <w:r w:rsidR="00F661E4">
        <w:t>,</w:t>
      </w:r>
      <w:r w:rsidR="00D61943">
        <w:t xml:space="preserve"> and the prediction of the TSMP properties. </w:t>
      </w:r>
      <w:r w:rsidR="00CC7B1E">
        <w:t xml:space="preserve">Figure 1 </w:t>
      </w:r>
      <w:r w:rsidR="00D06468">
        <w:t>shows the stages of this work</w:t>
      </w:r>
      <w:r w:rsidR="00C46EB7">
        <w:t>.</w:t>
      </w:r>
    </w:p>
    <w:p w14:paraId="33BE6ADB" w14:textId="0EEF50F5" w:rsidR="00CC7B1E" w:rsidRDefault="00CC7B1E" w:rsidP="00496ABF">
      <w:r>
        <w:rPr>
          <w:noProof/>
        </w:rPr>
        <w:drawing>
          <wp:inline distT="0" distB="0" distL="0" distR="0" wp14:anchorId="08B6A352" wp14:editId="388EB6F1">
            <wp:extent cx="5943600" cy="1944370"/>
            <wp:effectExtent l="0" t="0" r="0" b="0"/>
            <wp:docPr id="132274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pic:spPr>
                </pic:pic>
              </a:graphicData>
            </a:graphic>
          </wp:inline>
        </w:drawing>
      </w:r>
      <w:r w:rsidR="00411DE9">
        <w:t xml:space="preserve">The detailed description of the outline </w:t>
      </w:r>
      <w:r w:rsidR="00A76CD7">
        <w:t>is as follows:</w:t>
      </w:r>
    </w:p>
    <w:p w14:paraId="6909BAC2" w14:textId="39969D0B" w:rsidR="00A76CD7" w:rsidRDefault="004C79F0" w:rsidP="00A76CD7">
      <w:pPr>
        <w:pStyle w:val="ListParagraph"/>
        <w:numPr>
          <w:ilvl w:val="0"/>
          <w:numId w:val="1"/>
        </w:numPr>
      </w:pPr>
      <w:r>
        <w:t>Establishment of the datasets</w:t>
      </w:r>
    </w:p>
    <w:p w14:paraId="2435B73E" w14:textId="5256D766" w:rsidR="004C79F0" w:rsidRDefault="00F661E4" w:rsidP="008F7F04">
      <w:pPr>
        <w:pStyle w:val="ListParagraph"/>
        <w:numPr>
          <w:ilvl w:val="1"/>
          <w:numId w:val="1"/>
        </w:numPr>
      </w:pPr>
      <w:r>
        <w:t>Data was sourced from literature</w:t>
      </w:r>
      <w:r w:rsidR="00EF0360">
        <w:t xml:space="preserve"> considering only pure TSMPs </w:t>
      </w:r>
      <w:proofErr w:type="gramStart"/>
      <w:r w:rsidR="00EF0360">
        <w:t>i.e.</w:t>
      </w:r>
      <w:proofErr w:type="gramEnd"/>
      <w:r w:rsidR="00EF0360">
        <w:t xml:space="preserve"> </w:t>
      </w:r>
      <w:r w:rsidR="0048177C">
        <w:t>TSMPs without any form of reinforcement</w:t>
      </w:r>
    </w:p>
    <w:p w14:paraId="60B587E9" w14:textId="7A6FAE00" w:rsidR="0054082C" w:rsidRDefault="00597530" w:rsidP="008F7F04">
      <w:pPr>
        <w:pStyle w:val="ListParagraph"/>
        <w:numPr>
          <w:ilvl w:val="1"/>
          <w:numId w:val="1"/>
        </w:numPr>
      </w:pPr>
      <w:r>
        <w:t xml:space="preserve">Particularly, the structures of the monomers </w:t>
      </w:r>
      <w:r w:rsidR="008C7ABD">
        <w:t xml:space="preserve">the TSMPs </w:t>
      </w:r>
      <w:r w:rsidR="00116537">
        <w:t>are made of, their respective molecular weight</w:t>
      </w:r>
      <w:r w:rsidR="00EF0360">
        <w:t>,</w:t>
      </w:r>
      <w:r w:rsidR="00116537">
        <w:t xml:space="preserve"> and </w:t>
      </w:r>
      <w:r w:rsidR="0073100C">
        <w:t>the four properties of interest were considered</w:t>
      </w:r>
      <w:r w:rsidR="00EF0360">
        <w:t xml:space="preserve"> for this work.</w:t>
      </w:r>
    </w:p>
    <w:p w14:paraId="4F1F2F8A" w14:textId="1A734F2A" w:rsidR="00EF0360" w:rsidRDefault="008F7F04" w:rsidP="0048177C">
      <w:pPr>
        <w:pStyle w:val="ListParagraph"/>
        <w:numPr>
          <w:ilvl w:val="0"/>
          <w:numId w:val="1"/>
        </w:numPr>
      </w:pPr>
      <w:r>
        <w:t>Molecular fingerprinting</w:t>
      </w:r>
    </w:p>
    <w:p w14:paraId="1CDE0599" w14:textId="492E468E" w:rsidR="008F7F04" w:rsidRDefault="00495F3C" w:rsidP="008F7F04">
      <w:pPr>
        <w:pStyle w:val="ListParagraph"/>
        <w:numPr>
          <w:ilvl w:val="1"/>
          <w:numId w:val="1"/>
        </w:numPr>
      </w:pPr>
      <w:proofErr w:type="gramStart"/>
      <w:r>
        <w:t xml:space="preserve">The  </w:t>
      </w:r>
      <w:r w:rsidR="006072CA">
        <w:t>structures</w:t>
      </w:r>
      <w:proofErr w:type="gramEnd"/>
      <w:r w:rsidR="006072CA">
        <w:t xml:space="preserve"> of the </w:t>
      </w:r>
      <w:r w:rsidR="00E5274C">
        <w:t xml:space="preserve">monomers were canonicalized by adopting the </w:t>
      </w:r>
      <w:r w:rsidR="00FC1413">
        <w:t>Simplified</w:t>
      </w:r>
      <w:r w:rsidR="00130B87">
        <w:t xml:space="preserve"> Molecular Input Linear Entry System (SMILES)</w:t>
      </w:r>
      <w:r w:rsidR="00E72A6E">
        <w:t xml:space="preserve"> </w:t>
      </w:r>
      <w:r w:rsidR="00D96558">
        <w:t>; a linear notation system</w:t>
      </w:r>
      <w:r w:rsidR="00414FBE">
        <w:t xml:space="preserve">. </w:t>
      </w:r>
    </w:p>
    <w:p w14:paraId="0341CF42" w14:textId="690FA7EE" w:rsidR="00FC1413" w:rsidRDefault="00E9561B" w:rsidP="008F7F04">
      <w:pPr>
        <w:pStyle w:val="ListParagraph"/>
        <w:numPr>
          <w:ilvl w:val="1"/>
          <w:numId w:val="1"/>
        </w:numPr>
      </w:pPr>
      <w:r>
        <w:t xml:space="preserve">The canonicalized monomers were then </w:t>
      </w:r>
      <w:r w:rsidR="000C369A">
        <w:t>fingerprinted into high dimensional</w:t>
      </w:r>
      <w:r w:rsidR="00F17A24">
        <w:t xml:space="preserve"> vectors using the Morgan Fingerprinting</w:t>
      </w:r>
      <w:r w:rsidR="00872B6A">
        <w:t>, a circular molecular fingerprinting system.</w:t>
      </w:r>
    </w:p>
    <w:p w14:paraId="56BF8DCB" w14:textId="6600F941" w:rsidR="00872B6A" w:rsidRDefault="00F83A8A" w:rsidP="00872B6A">
      <w:pPr>
        <w:pStyle w:val="ListParagraph"/>
        <w:numPr>
          <w:ilvl w:val="0"/>
          <w:numId w:val="1"/>
        </w:numPr>
      </w:pPr>
      <w:r>
        <w:t xml:space="preserve">Establishment of the </w:t>
      </w:r>
      <w:r w:rsidR="00184DEB">
        <w:t>ML</w:t>
      </w:r>
      <w:r>
        <w:t xml:space="preserve"> models</w:t>
      </w:r>
    </w:p>
    <w:p w14:paraId="4FE567CC" w14:textId="2C82C9EC" w:rsidR="00F83A8A" w:rsidRDefault="0046698E" w:rsidP="00F83A8A">
      <w:pPr>
        <w:pStyle w:val="ListParagraph"/>
        <w:numPr>
          <w:ilvl w:val="0"/>
          <w:numId w:val="2"/>
        </w:numPr>
      </w:pPr>
      <w:r>
        <w:t xml:space="preserve">Three non linear </w:t>
      </w:r>
      <w:r w:rsidR="00875761">
        <w:t xml:space="preserve">ML </w:t>
      </w:r>
      <w:r>
        <w:t xml:space="preserve">models were selected for this work for </w:t>
      </w:r>
      <w:proofErr w:type="gramStart"/>
      <w:r>
        <w:t>comparison</w:t>
      </w:r>
      <w:proofErr w:type="gramEnd"/>
      <w:r>
        <w:t xml:space="preserve"> </w:t>
      </w:r>
      <w:r w:rsidR="00875761">
        <w:t xml:space="preserve">sake. </w:t>
      </w:r>
    </w:p>
    <w:p w14:paraId="3054DC28" w14:textId="7FD18876" w:rsidR="00875761" w:rsidRDefault="00875761" w:rsidP="00F83A8A">
      <w:pPr>
        <w:pStyle w:val="ListParagraph"/>
        <w:numPr>
          <w:ilvl w:val="0"/>
          <w:numId w:val="2"/>
        </w:numPr>
      </w:pPr>
      <w:r>
        <w:t>The models namely G</w:t>
      </w:r>
      <w:r w:rsidR="00184DEB">
        <w:t xml:space="preserve">aussian Process Regression (GPR), </w:t>
      </w:r>
      <w:r w:rsidR="00C86EE1">
        <w:t>Support Vector Regression (SVR), and Artificial Neural Network (ANN) were compared based on three metrics.</w:t>
      </w:r>
    </w:p>
    <w:p w14:paraId="6583794E" w14:textId="7B0EB9C5" w:rsidR="00C86EE1" w:rsidRDefault="00C86EE1" w:rsidP="00F83A8A">
      <w:pPr>
        <w:pStyle w:val="ListParagraph"/>
        <w:numPr>
          <w:ilvl w:val="0"/>
          <w:numId w:val="2"/>
        </w:numPr>
      </w:pPr>
      <w:r>
        <w:t xml:space="preserve">Although the main metric of focus was the mean absolute percentage error (MAPE), </w:t>
      </w:r>
      <w:r w:rsidR="00CD2B8D">
        <w:t>two other metrics, mean squared error (MSE), and mean absolute error (MAE) were added to further confirm the best performing model.</w:t>
      </w:r>
    </w:p>
    <w:p w14:paraId="4F01E6C8" w14:textId="5CE3AC4F" w:rsidR="00CD2B8D" w:rsidRDefault="000E2392" w:rsidP="00A8072C">
      <w:pPr>
        <w:pStyle w:val="Heading3"/>
      </w:pPr>
      <w:r>
        <w:t>S</w:t>
      </w:r>
      <w:r w:rsidR="004B1527">
        <w:t>MILES</w:t>
      </w:r>
    </w:p>
    <w:p w14:paraId="5836987B" w14:textId="262A91CA" w:rsidR="009F4F0D" w:rsidRPr="007B08F1" w:rsidRDefault="009F4F0D" w:rsidP="00211817">
      <w:pPr>
        <w:jc w:val="both"/>
      </w:pPr>
      <w:r>
        <w:t xml:space="preserve">SMILES is an abbreviation </w:t>
      </w:r>
      <w:r w:rsidR="00A872BB">
        <w:t>for Simplified Molecular Input Linear Entry System. This is a linear notation widely u</w:t>
      </w:r>
      <w:r w:rsidR="004C1763">
        <w:t xml:space="preserve">sed in represent structure </w:t>
      </w:r>
      <w:r w:rsidR="00883726">
        <w:t>of molecules into a linear form.</w:t>
      </w:r>
      <w:r w:rsidR="00AA00E0">
        <w:t xml:space="preserve"> SMILES uses a very short and natural grammar, enables rigorous structural specification based on the ideas of molecular graph theory, and is </w:t>
      </w:r>
      <w:r w:rsidR="00AA00E0">
        <w:lastRenderedPageBreak/>
        <w:t xml:space="preserve">well-suited for high-speed machine processing </w:t>
      </w:r>
      <w:r w:rsidR="00AA00E0">
        <w:fldChar w:fldCharType="begin" w:fldLock="1"/>
      </w:r>
      <w:r w:rsidR="00211817">
        <w:instrText>ADDIN CSL_CITATION {"citationItems":[{"id":"ITEM-1","itemData":{"DOI":"10.4159/harvard.9780674368446.c10","abstract":"LETTERS different strategies, is sexual selection. We conclude that Roughgarden et al.'s models, rather than being alternatives to sexual selection , are in fact themselves models of sexual selection (2).","author":[{"dropping-particle":"","family":"Cohen","given":"I. Bernard","non-dropping-particle":"","parse-names":false,"suffix":""},{"dropping-particle":"","family":"Morison","given":"Samuel Eliot","non-dropping-particle":"","parse-names":false,"suffix":""}],"container-title":"Some Early Tools of American Science","id":"ITEM-1","issued":{"date-parts":[["2014"]]},"page":"177-190","title":"References and Notes","type":"article-journal"},"uris":["http://www.mendeley.com/documents/?uuid=b9c105f6-650a-4349-aa8b-41930a66cf1d"]}],"mendeley":{"formattedCitation":"[1]","plainTextFormattedCitation":"[1]","previouslyFormattedCitation":"[1]"},"properties":{"noteIndex":0},"schema":"https://github.com/citation-style-language/schema/raw/master/csl-citation.json"}</w:instrText>
      </w:r>
      <w:r w:rsidR="00AA00E0">
        <w:fldChar w:fldCharType="separate"/>
      </w:r>
      <w:r w:rsidR="00AA00E0" w:rsidRPr="00AA00E0">
        <w:rPr>
          <w:noProof/>
        </w:rPr>
        <w:t>[1]</w:t>
      </w:r>
      <w:r w:rsidR="00AA00E0">
        <w:fldChar w:fldCharType="end"/>
      </w:r>
      <w:r w:rsidR="00AA00E0">
        <w:t xml:space="preserve">. </w:t>
      </w:r>
      <w:r w:rsidR="00211817">
        <w:t xml:space="preserve">SMILES creates a simplified version of molecular structures by changing them into graphs. Although several other notations such as the Wiswesser notation and the Representation of Organic Structures Description Arranged Linearly (ROSDAL notation) exist, the </w:t>
      </w:r>
      <w:r w:rsidR="00AA0E50">
        <w:t xml:space="preserve">SMILES notation is more lax and easy to learn </w:t>
      </w:r>
      <w:r w:rsidR="00AA0E50">
        <w:fldChar w:fldCharType="begin" w:fldLock="1"/>
      </w:r>
      <w:r w:rsidR="00AA0E50">
        <w:instrText>ADDIN CSL_CITATION {"citationItems":[{"id":"ITEM-1","itemData":{"DOI":"10.4159/harvard.9780674368446.c10","abstract":"LETTERS different strategies, is sexual selection. We conclude that Roughgarden et al.'s models, rather than being alternatives to sexual selection , are in fact themselves models of sexual selection (2).","author":[{"dropping-particle":"","family":"Cohen","given":"I. Bernard","non-dropping-particle":"","parse-names":false,"suffix":""},{"dropping-particle":"","family":"Morison","given":"Samuel Eliot","non-dropping-particle":"","parse-names":false,"suffix":""}],"container-title":"Some Early Tools of American Science","id":"ITEM-1","issued":{"date-parts":[["2014"]]},"page":"177-190","title":"References and Notes","type":"article-journal"},"uris":["http://www.mendeley.com/documents/?uuid=b9c105f6-650a-4349-aa8b-41930a66cf1d"]},{"id":"ITEM-2","itemData":{"author":[{"dropping-particle":"","family":"Rius-alonso","given":"Carlos Antonio","non-dropping-particle":"","parse-names":false,"suffix":""},{"dropping-particle":"","family":"González-quezada","given":"Yolanda","non-dropping-particle":"","parse-names":false,"suffix":""}],"id":"ITEM-2","issue":"November 2012","issued":{"date-parts":[["2014"]]},"title":"THE USE OF SMILES TO PERFORM EVALUATIONS IN CHEMISTRY Wiswesser notation","type":"article-journal"},"uris":["http://www.mendeley.com/documents/?uuid=36188ef3-1c4f-4753-a0ad-5d27176c3db6"]}],"mendeley":{"formattedCitation":"[1], [2]","manualFormatting":"[1,2]","plainTextFormattedCitation":"[1], [2]"},"properties":{"noteIndex":0},"schema":"https://github.com/citation-style-language/schema/raw/master/csl-citation.json"}</w:instrText>
      </w:r>
      <w:r w:rsidR="00AA0E50">
        <w:fldChar w:fldCharType="separate"/>
      </w:r>
      <w:r w:rsidR="00AA0E50" w:rsidRPr="00211817">
        <w:rPr>
          <w:noProof/>
        </w:rPr>
        <w:t>[1</w:t>
      </w:r>
      <w:r w:rsidR="00AA0E50">
        <w:rPr>
          <w:noProof/>
        </w:rPr>
        <w:t>,</w:t>
      </w:r>
      <w:r w:rsidR="00AA0E50" w:rsidRPr="00211817">
        <w:rPr>
          <w:noProof/>
        </w:rPr>
        <w:t>2]</w:t>
      </w:r>
      <w:r w:rsidR="00AA0E50">
        <w:fldChar w:fldCharType="end"/>
      </w:r>
      <w:r w:rsidR="00AA0E50">
        <w:t>.</w:t>
      </w:r>
      <w:r w:rsidR="00211817">
        <w:t xml:space="preserve"> </w:t>
      </w:r>
      <w:r w:rsidR="00AA0E50">
        <w:t>Other methods of converting molecular structures to strings are more complicated and involving.</w:t>
      </w:r>
      <w:r w:rsidR="00790A4B">
        <w:t xml:space="preserve"> In chemical informatics, other variations of the SMILES also exist such as </w:t>
      </w:r>
      <w:proofErr w:type="spellStart"/>
      <w:r w:rsidR="00790A4B">
        <w:t>DeepSMILES</w:t>
      </w:r>
      <w:proofErr w:type="spellEnd"/>
      <w:r w:rsidR="00790A4B">
        <w:t xml:space="preserve">[ref] and </w:t>
      </w:r>
      <w:proofErr w:type="spellStart"/>
      <w:r w:rsidR="00790A4B">
        <w:t>BigSMILES</w:t>
      </w:r>
      <w:proofErr w:type="spellEnd"/>
      <w:r w:rsidR="00790A4B">
        <w:t>[ref].</w:t>
      </w:r>
      <w:r w:rsidR="00064B3B">
        <w:t xml:space="preserve"> </w:t>
      </w:r>
      <w:r w:rsidR="005F7637">
        <w:t xml:space="preserve"> </w:t>
      </w:r>
      <w:r w:rsidR="0075196F">
        <w:t xml:space="preserve"> </w:t>
      </w:r>
    </w:p>
    <w:p w14:paraId="1D711FB6" w14:textId="7B3D0DAA" w:rsidR="00131A5F" w:rsidRDefault="000E2392" w:rsidP="00131A5F">
      <w:pPr>
        <w:pStyle w:val="Heading3"/>
      </w:pPr>
      <w:r>
        <w:t xml:space="preserve">Molecular </w:t>
      </w:r>
      <w:r w:rsidR="00131A5F">
        <w:t>Fingerprinting</w:t>
      </w:r>
    </w:p>
    <w:p w14:paraId="356AC765" w14:textId="32C22461" w:rsidR="00131A5F" w:rsidRDefault="00131A5F" w:rsidP="00131A5F">
      <w:pPr>
        <w:pStyle w:val="Heading3"/>
      </w:pPr>
      <w:r>
        <w:t>GPR</w:t>
      </w:r>
    </w:p>
    <w:p w14:paraId="0D868529" w14:textId="78A9AC86" w:rsidR="00131A5F" w:rsidRDefault="00131A5F" w:rsidP="00131A5F">
      <w:pPr>
        <w:pStyle w:val="Heading3"/>
      </w:pPr>
      <w:r>
        <w:t>ANN</w:t>
      </w:r>
    </w:p>
    <w:p w14:paraId="33DAC5CC" w14:textId="1863E990" w:rsidR="00131A5F" w:rsidRDefault="00131A5F" w:rsidP="00131A5F">
      <w:pPr>
        <w:pStyle w:val="Heading3"/>
      </w:pPr>
      <w:r>
        <w:t>SVR</w:t>
      </w:r>
    </w:p>
    <w:p w14:paraId="4D9173B3" w14:textId="7CC1D754" w:rsidR="00131A5F" w:rsidRPr="00131A5F" w:rsidRDefault="00131A5F" w:rsidP="00131A5F">
      <w:pPr>
        <w:pStyle w:val="Heading3"/>
      </w:pPr>
      <w:proofErr w:type="gramStart"/>
      <w:r>
        <w:t>MA</w:t>
      </w:r>
      <w:r w:rsidR="004B1527">
        <w:t>E,MSE</w:t>
      </w:r>
      <w:proofErr w:type="gramEnd"/>
      <w:r w:rsidR="004B1527">
        <w:t>, MAPE</w:t>
      </w:r>
    </w:p>
    <w:p w14:paraId="263E628A" w14:textId="77777777" w:rsidR="00131A5F" w:rsidRPr="00131A5F" w:rsidRDefault="00131A5F" w:rsidP="00131A5F"/>
    <w:p w14:paraId="3521192F" w14:textId="08576F95" w:rsidR="00AD285E" w:rsidRDefault="00AD285E" w:rsidP="00AD285E">
      <w:pPr>
        <w:pStyle w:val="Heading2"/>
      </w:pPr>
      <w:r>
        <w:t>Results and Discussion</w:t>
      </w:r>
    </w:p>
    <w:p w14:paraId="30D7CA2E" w14:textId="0702035E" w:rsidR="00AD285E" w:rsidRDefault="00834D51" w:rsidP="00AD285E">
      <w:r>
        <w:t xml:space="preserve">The </w:t>
      </w:r>
      <w:r w:rsidR="007A4F9B">
        <w:t xml:space="preserve">glassy modulus, storage modulus and the temperatures at which they occur </w:t>
      </w:r>
      <w:r w:rsidR="00381BCF">
        <w:t xml:space="preserve">were studied. </w:t>
      </w:r>
      <w:r w:rsidR="00914594">
        <w:t xml:space="preserve">Four datasets </w:t>
      </w:r>
      <w:r w:rsidR="00527698">
        <w:t xml:space="preserve">for each of the four properties of the </w:t>
      </w:r>
      <w:r w:rsidR="001E3697">
        <w:t xml:space="preserve">DMA curve </w:t>
      </w:r>
      <w:proofErr w:type="gramStart"/>
      <w:r w:rsidR="001E3697">
        <w:t>i.e.</w:t>
      </w:r>
      <w:proofErr w:type="gramEnd"/>
      <w:r w:rsidR="001E3697">
        <w:t xml:space="preserve"> glassy and rubbery moduli and their respective temperatures. </w:t>
      </w:r>
      <w:r w:rsidR="00307645">
        <w:t xml:space="preserve">From various </w:t>
      </w:r>
      <w:r w:rsidR="004A7C54">
        <w:t>references</w:t>
      </w:r>
      <w:r w:rsidR="00D26D60">
        <w:t>, about an average of 196 datapoints</w:t>
      </w:r>
      <w:r w:rsidR="0053193C">
        <w:t xml:space="preserve"> was collected for each of the datasets. </w:t>
      </w:r>
      <w:r w:rsidR="00733652">
        <w:t xml:space="preserve">Collected from these references were the properties of interest, the </w:t>
      </w:r>
      <w:r w:rsidR="00511086">
        <w:t xml:space="preserve">structures of the respective monomers and their </w:t>
      </w:r>
      <w:r w:rsidR="00381B8B">
        <w:t>molar ratios. In this work, only pure shape memory polymers were considered</w:t>
      </w:r>
      <w:r w:rsidR="00DC0200">
        <w:t xml:space="preserve">. Also, even if there were catalyst in the synthesis of these monomers, they were </w:t>
      </w:r>
      <w:r w:rsidR="00007F4C">
        <w:t>taken into account.</w:t>
      </w:r>
    </w:p>
    <w:p w14:paraId="29DFB083" w14:textId="7B96AFC5" w:rsidR="00007F4C" w:rsidRPr="00AD285E" w:rsidRDefault="00007F4C" w:rsidP="00AD285E">
      <w:r>
        <w:t xml:space="preserve">For each dataset, the </w:t>
      </w:r>
      <w:r w:rsidR="007450A5">
        <w:t xml:space="preserve">structures </w:t>
      </w:r>
      <w:r w:rsidR="00D47A82">
        <w:t xml:space="preserve">of the amine and epoxy were converted in the </w:t>
      </w:r>
      <w:r w:rsidR="00E0000D">
        <w:t xml:space="preserve">Simplified Molecular Linear Input Line Entry System (SMILES) notation. SMILES represents the </w:t>
      </w:r>
      <w:r w:rsidR="000A4DEF">
        <w:t xml:space="preserve">molecular structures as graphs. </w:t>
      </w:r>
    </w:p>
    <w:p w14:paraId="1292543A" w14:textId="77777777" w:rsidR="00AD285E" w:rsidRDefault="00AD285E" w:rsidP="00AD285E"/>
    <w:p w14:paraId="1DBEB698" w14:textId="44CB3FA7" w:rsidR="00AD285E" w:rsidRDefault="00AD285E" w:rsidP="00AD285E">
      <w:pPr>
        <w:pStyle w:val="Heading2"/>
      </w:pPr>
      <w:r>
        <w:t>Conclusion</w:t>
      </w:r>
    </w:p>
    <w:p w14:paraId="2B848984" w14:textId="77777777" w:rsidR="00AD285E" w:rsidRDefault="00AD285E" w:rsidP="00AD285E"/>
    <w:p w14:paraId="098D8682" w14:textId="773295A6" w:rsidR="00AD285E" w:rsidRPr="00AD285E" w:rsidRDefault="00AD285E" w:rsidP="00AD285E">
      <w:pPr>
        <w:pStyle w:val="Heading2"/>
      </w:pPr>
      <w:r>
        <w:t>Experimental Section</w:t>
      </w:r>
    </w:p>
    <w:p w14:paraId="5A7836B6" w14:textId="77777777" w:rsidR="00465BDE" w:rsidRDefault="00465BDE" w:rsidP="00465BDE"/>
    <w:p w14:paraId="016DFCDC" w14:textId="77777777" w:rsidR="00465BDE" w:rsidRPr="00465BDE" w:rsidRDefault="00465BDE" w:rsidP="00465BDE"/>
    <w:sectPr w:rsidR="00465BDE" w:rsidRPr="0046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30B4"/>
    <w:multiLevelType w:val="hybridMultilevel"/>
    <w:tmpl w:val="2634E7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2EF15E9"/>
    <w:multiLevelType w:val="hybridMultilevel"/>
    <w:tmpl w:val="3AC4F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2552252">
    <w:abstractNumId w:val="1"/>
  </w:num>
  <w:num w:numId="2" w16cid:durableId="212869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99"/>
    <w:rsid w:val="00007F4C"/>
    <w:rsid w:val="00064B3B"/>
    <w:rsid w:val="000A4DEF"/>
    <w:rsid w:val="000C369A"/>
    <w:rsid w:val="000E2392"/>
    <w:rsid w:val="00116537"/>
    <w:rsid w:val="00130B87"/>
    <w:rsid w:val="00131A5F"/>
    <w:rsid w:val="00160CFE"/>
    <w:rsid w:val="00184DEB"/>
    <w:rsid w:val="001B0076"/>
    <w:rsid w:val="001E3697"/>
    <w:rsid w:val="001F521B"/>
    <w:rsid w:val="00211817"/>
    <w:rsid w:val="002B047F"/>
    <w:rsid w:val="002B53CB"/>
    <w:rsid w:val="00307645"/>
    <w:rsid w:val="00381B8B"/>
    <w:rsid w:val="00381BCF"/>
    <w:rsid w:val="00411DE9"/>
    <w:rsid w:val="00414FBE"/>
    <w:rsid w:val="00465BDE"/>
    <w:rsid w:val="0046698E"/>
    <w:rsid w:val="0048177C"/>
    <w:rsid w:val="00495F3C"/>
    <w:rsid w:val="00496ABF"/>
    <w:rsid w:val="004A0CC2"/>
    <w:rsid w:val="004A7C54"/>
    <w:rsid w:val="004B1527"/>
    <w:rsid w:val="004C1763"/>
    <w:rsid w:val="004C2469"/>
    <w:rsid w:val="004C79F0"/>
    <w:rsid w:val="004D0146"/>
    <w:rsid w:val="00511086"/>
    <w:rsid w:val="00524340"/>
    <w:rsid w:val="00527698"/>
    <w:rsid w:val="0053193C"/>
    <w:rsid w:val="0054082C"/>
    <w:rsid w:val="0058077D"/>
    <w:rsid w:val="00597530"/>
    <w:rsid w:val="005D382B"/>
    <w:rsid w:val="005F7637"/>
    <w:rsid w:val="006072CA"/>
    <w:rsid w:val="006B5BD3"/>
    <w:rsid w:val="006C427E"/>
    <w:rsid w:val="006F6C0B"/>
    <w:rsid w:val="0073100C"/>
    <w:rsid w:val="00733652"/>
    <w:rsid w:val="00735755"/>
    <w:rsid w:val="007450A5"/>
    <w:rsid w:val="0075196F"/>
    <w:rsid w:val="00790A4B"/>
    <w:rsid w:val="007A4F9B"/>
    <w:rsid w:val="007B08F1"/>
    <w:rsid w:val="00834D51"/>
    <w:rsid w:val="00872B6A"/>
    <w:rsid w:val="00875761"/>
    <w:rsid w:val="00883726"/>
    <w:rsid w:val="008C7ABD"/>
    <w:rsid w:val="008F7F04"/>
    <w:rsid w:val="00914594"/>
    <w:rsid w:val="009F4F0D"/>
    <w:rsid w:val="00A76CD7"/>
    <w:rsid w:val="00A8072C"/>
    <w:rsid w:val="00A872BB"/>
    <w:rsid w:val="00AA00E0"/>
    <w:rsid w:val="00AA0E50"/>
    <w:rsid w:val="00AD285E"/>
    <w:rsid w:val="00AE19D0"/>
    <w:rsid w:val="00BB0529"/>
    <w:rsid w:val="00C46EB7"/>
    <w:rsid w:val="00C86EE1"/>
    <w:rsid w:val="00CC7B1E"/>
    <w:rsid w:val="00CD2B8D"/>
    <w:rsid w:val="00CE0009"/>
    <w:rsid w:val="00D06468"/>
    <w:rsid w:val="00D26D60"/>
    <w:rsid w:val="00D31C95"/>
    <w:rsid w:val="00D47A82"/>
    <w:rsid w:val="00D61943"/>
    <w:rsid w:val="00D96558"/>
    <w:rsid w:val="00DA3415"/>
    <w:rsid w:val="00DC0200"/>
    <w:rsid w:val="00E0000D"/>
    <w:rsid w:val="00E02D99"/>
    <w:rsid w:val="00E1008A"/>
    <w:rsid w:val="00E15B94"/>
    <w:rsid w:val="00E44AB3"/>
    <w:rsid w:val="00E5274C"/>
    <w:rsid w:val="00E72A6E"/>
    <w:rsid w:val="00E9561B"/>
    <w:rsid w:val="00EF0360"/>
    <w:rsid w:val="00F17A24"/>
    <w:rsid w:val="00F661E4"/>
    <w:rsid w:val="00F83A8A"/>
    <w:rsid w:val="00F92247"/>
    <w:rsid w:val="00FC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1EBB2"/>
  <w15:chartTrackingRefBased/>
  <w15:docId w15:val="{B55E8B31-F8F9-4675-AA52-8D76BA44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009"/>
    <w:pPr>
      <w:spacing w:line="240" w:lineRule="auto"/>
    </w:pPr>
    <w:rPr>
      <w:rFonts w:ascii="Times New Roman" w:hAnsi="Times New Roman"/>
      <w:lang w:val="en-CA"/>
    </w:rPr>
  </w:style>
  <w:style w:type="paragraph" w:styleId="Heading1">
    <w:name w:val="heading 1"/>
    <w:basedOn w:val="Normal"/>
    <w:next w:val="Normal"/>
    <w:link w:val="Heading1Char"/>
    <w:uiPriority w:val="9"/>
    <w:qFormat/>
    <w:rsid w:val="00E10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7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8A"/>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D31C95"/>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34"/>
    <w:qFormat/>
    <w:rsid w:val="00A76CD7"/>
    <w:pPr>
      <w:ind w:left="720"/>
      <w:contextualSpacing/>
    </w:pPr>
  </w:style>
  <w:style w:type="character" w:customStyle="1" w:styleId="Heading3Char">
    <w:name w:val="Heading 3 Char"/>
    <w:basedOn w:val="DefaultParagraphFont"/>
    <w:link w:val="Heading3"/>
    <w:uiPriority w:val="9"/>
    <w:rsid w:val="00A8072C"/>
    <w:rPr>
      <w:rFonts w:asciiTheme="majorHAnsi" w:eastAsiaTheme="majorEastAsia" w:hAnsiTheme="majorHAnsi" w:cstheme="majorBidi"/>
      <w:color w:val="1F3763" w:themeColor="accent1" w:themeShade="7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915B-4D5D-44E8-8498-C31BE9E5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912</Words>
  <Characters>5194</Characters>
  <Application>Microsoft Office Word</Application>
  <DocSecurity>0</DocSecurity>
  <Lines>110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 amponsah</dc:creator>
  <cp:keywords/>
  <dc:description/>
  <cp:lastModifiedBy>ama amponsah</cp:lastModifiedBy>
  <cp:revision>91</cp:revision>
  <dcterms:created xsi:type="dcterms:W3CDTF">2023-11-28T03:41:00Z</dcterms:created>
  <dcterms:modified xsi:type="dcterms:W3CDTF">2023-12-06T01:48:00Z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109ea1dada9d6e2a9ffef496d00ec0a0ac00b62b5d07c7362fd9a0db466626bd</vt:lpwstr>
  </property>
  <property fmtid="{D5CDD505-2E9C-101B-9397-08002B2CF9AE}" pid="3" name="Mendeley Document_1">
    <vt:lpwstr>True</vt:lpwstr>
  </property>
  <property fmtid="{D5CDD505-2E9C-101B-9397-08002B2CF9AE}" pid="4" name="Mendeley Unique User Id_1">
    <vt:lpwstr>7740022f-1b70-352a-9eb3-c52e094be046</vt:lpwstr>
  </property>
  <property fmtid="{D5CDD505-2E9C-101B-9397-08002B2CF9AE}" pid="5" name="Mendeley Citation Style_1">
    <vt:lpwstr>http://www.zotero.org/styles/ieee</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12th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