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2563EB"/>
          <w:sz w:val="20"/>
        </w:rPr>
        <w:t>ACADEMIC RESEARCH WHITEPAPER | APPLIED STOCHASTIC PROCESSES &amp; SPORTS ANALYTICS</w:t>
      </w:r>
    </w:p>
    <w:p>
      <w:pPr>
        <w:spacing w:before="40" w:after="80"/>
      </w:pPr>
      <w:r>
        <w:rPr>
          <w:rFonts w:ascii="Arial" w:hAnsi="Arial"/>
          <w:b/>
          <w:color w:val="0F172A"/>
          <w:sz w:val="48"/>
        </w:rPr>
        <w:t>NBA 戰術進攻隨機建模與拓撲網絡分析</w:t>
      </w:r>
    </w:p>
    <w:p>
      <w:pPr>
        <w:spacing w:before="0" w:after="240"/>
      </w:pPr>
      <w:r>
        <w:rPr>
          <w:rFonts w:ascii="Arial" w:hAnsi="Arial"/>
          <w:color w:val="475569"/>
          <w:sz w:val="26"/>
        </w:rPr>
        <w:t>Stochastic Offense Valuation via Absorbing Markov Chains &amp; Network Topology</w:t>
      </w:r>
    </w:p>
    <w:p>
      <w:pPr>
        <w:keepNext/>
        <w:spacing w:before="360" w:after="80"/>
      </w:pPr>
      <w:r>
        <w:rPr>
          <w:rFonts w:ascii="Arial" w:hAnsi="Arial"/>
          <w:b/>
          <w:color w:val="1E3A8A"/>
          <w:sz w:val="34"/>
        </w:rPr>
        <w:t>一、 摘要 (Abstract)</w:t>
      </w:r>
    </w:p>
    <w:p>
      <w:pPr>
        <w:spacing w:before="0" w:after="80"/>
      </w:pPr>
      <w:r>
        <w:rPr>
          <w:rFonts w:ascii="Arial" w:hAnsi="Arial"/>
          <w:color w:val="64748B"/>
          <w:sz w:val="22"/>
        </w:rPr>
        <w:t>說明本專題報告的前因、後果與核心結論</w:t>
      </w:r>
    </w:p>
    <w:p>
      <w:pPr>
        <w:spacing w:before="0" w:after="160"/>
      </w:pPr>
      <w:r>
        <w:rPr>
          <w:rFonts w:ascii="Arial" w:hAnsi="Arial"/>
          <w:color w:val="2563EB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前因背景：</w:t>
      </w:r>
      <w:r>
        <w:rPr>
          <w:rFonts w:ascii="Arial" w:hAnsi="Arial"/>
          <w:color w:val="1F2937"/>
          <w:sz w:val="26"/>
        </w:rPr>
        <w:t>傳統單點投籃統計忽視傳導動態價值。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研究途徑：</w:t>
      </w:r>
      <w:r>
        <w:rPr>
          <w:rFonts w:ascii="Arial" w:hAnsi="Arial"/>
          <w:color w:val="1F2937"/>
          <w:sz w:val="26"/>
        </w:rPr>
        <w:t>結合吸收馬可夫鏈與複雜網絡拓撲分析。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後果產出：</w:t>
      </w:r>
      <w:r>
        <w:rPr>
          <w:rFonts w:ascii="Arial" w:hAnsi="Arial"/>
          <w:color w:val="1F2937"/>
          <w:sz w:val="26"/>
        </w:rPr>
        <w:t>成功推導半場進攻期望值解析解。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實證結論：</w:t>
      </w:r>
      <w:r>
        <w:rPr>
          <w:rFonts w:ascii="Arial" w:hAnsi="Arial"/>
          <w:color w:val="1F2937"/>
          <w:sz w:val="26"/>
        </w:rPr>
        <w:t>五外平權體系比單核體系抗包夾性更高。</w:t>
      </w:r>
    </w:p>
    <w:p>
      <w:pPr>
        <w:keepNext/>
        <w:spacing w:before="360" w:after="80"/>
      </w:pPr>
      <w:r>
        <w:rPr>
          <w:rFonts w:ascii="Arial" w:hAnsi="Arial"/>
          <w:b/>
          <w:color w:val="1E3A8A"/>
          <w:sz w:val="34"/>
        </w:rPr>
        <w:t>二、 簡報目錄 (Table of Contents)</w:t>
      </w:r>
    </w:p>
    <w:p>
      <w:pPr>
        <w:spacing w:before="0" w:after="80"/>
      </w:pPr>
      <w:r>
        <w:rPr>
          <w:rFonts w:ascii="Arial" w:hAnsi="Arial"/>
          <w:color w:val="64748B"/>
          <w:sz w:val="22"/>
        </w:rPr>
        <w:t>本次研究報告的內容順序架構</w:t>
      </w:r>
    </w:p>
    <w:p>
      <w:pPr>
        <w:spacing w:before="0" w:after="160"/>
      </w:pPr>
      <w:r>
        <w:rPr>
          <w:rFonts w:ascii="Arial" w:hAnsi="Arial"/>
          <w:color w:val="2563EB"/>
          <w:sz w:val="14"/>
        </w:rPr>
        <w:t>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24"/>
              </w:rPr>
              <w:t>01. 摘要 (Abstract)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24"/>
              </w:rPr>
              <w:t>06. 研究方法 (Methodology)</w:t>
            </w:r>
          </w:p>
        </w:tc>
      </w:tr>
      <w:tr>
        <w:tc>
          <w:tcPr>
            <w:tcW w:type="dxa" w:w="48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24"/>
              </w:rPr>
              <w:t>02. 簡報目錄 (Table of Contents)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24"/>
              </w:rPr>
              <w:t>07. 研究結果 (Results)</w:t>
            </w:r>
          </w:p>
        </w:tc>
      </w:tr>
      <w:tr>
        <w:tc>
          <w:tcPr>
            <w:tcW w:type="dxa" w:w="48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24"/>
              </w:rPr>
              <w:t>03. 引言 (Introduction)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24"/>
              </w:rPr>
              <w:t>08. 結果討論 (Discussion)</w:t>
            </w:r>
          </w:p>
        </w:tc>
      </w:tr>
      <w:tr>
        <w:tc>
          <w:tcPr>
            <w:tcW w:type="dxa" w:w="48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24"/>
              </w:rPr>
              <w:t>04. 研究目的 (Research Objectives)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24"/>
              </w:rPr>
              <w:t>09. 結論與展望 (Conclusion)</w:t>
            </w:r>
          </w:p>
        </w:tc>
      </w:tr>
      <w:tr>
        <w:tc>
          <w:tcPr>
            <w:tcW w:type="dxa" w:w="48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24"/>
              </w:rPr>
              <w:t>05. 文獻回顧 (Literature Review)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24"/>
              </w:rPr>
              <w:t>附錄. 核心圖表 (Figures 1-4)</w:t>
            </w:r>
          </w:p>
        </w:tc>
      </w:tr>
    </w:tbl>
    <w:p>
      <w:pPr>
        <w:keepNext/>
        <w:spacing w:before="360" w:after="80"/>
      </w:pPr>
      <w:r>
        <w:rPr>
          <w:rFonts w:ascii="Arial" w:hAnsi="Arial"/>
          <w:b/>
          <w:color w:val="1E3A8A"/>
          <w:sz w:val="34"/>
        </w:rPr>
        <w:t>三、 引言 (Introduction)</w:t>
      </w:r>
    </w:p>
    <w:p>
      <w:pPr>
        <w:spacing w:before="0" w:after="80"/>
      </w:pPr>
      <w:r>
        <w:rPr>
          <w:rFonts w:ascii="Arial" w:hAnsi="Arial"/>
          <w:color w:val="64748B"/>
          <w:sz w:val="22"/>
        </w:rPr>
        <w:t>專題簡介、研究背景與動機、專題重要性</w:t>
      </w:r>
    </w:p>
    <w:p>
      <w:pPr>
        <w:spacing w:before="0" w:after="160"/>
      </w:pPr>
      <w:r>
        <w:rPr>
          <w:rFonts w:ascii="Arial" w:hAnsi="Arial"/>
          <w:color w:val="2563EB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專題簡介：</w:t>
      </w:r>
      <w:r>
        <w:rPr>
          <w:rFonts w:ascii="Arial" w:hAnsi="Arial"/>
          <w:color w:val="1F2937"/>
          <w:sz w:val="26"/>
        </w:rPr>
        <w:t>量化建模 NBA 半場進攻時空傳球序列。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研究背景：</w:t>
      </w:r>
      <w:r>
        <w:rPr>
          <w:rFonts w:ascii="Arial" w:hAnsi="Arial"/>
          <w:color w:val="1F2937"/>
          <w:sz w:val="26"/>
        </w:rPr>
        <w:t>現代籃球強調空間拉開與高頻動態傳導。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研究動機：</w:t>
      </w:r>
      <w:r>
        <w:rPr>
          <w:rFonts w:ascii="Arial" w:hAnsi="Arial"/>
          <w:color w:val="1F2937"/>
          <w:sz w:val="26"/>
        </w:rPr>
        <w:t>現有指標無法捕捉無球跑動與助攻前傳球。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重要趣味：</w:t>
      </w:r>
      <w:r>
        <w:rPr>
          <w:rFonts w:ascii="Arial" w:hAnsi="Arial"/>
          <w:color w:val="1F2937"/>
          <w:sz w:val="26"/>
        </w:rPr>
        <w:t>以數學網絡透視總冠軍賽隊伍戰術差異。</w:t>
      </w:r>
    </w:p>
    <w:p>
      <w:pPr>
        <w:keepNext/>
        <w:spacing w:before="360" w:after="80"/>
      </w:pPr>
      <w:r>
        <w:rPr>
          <w:rFonts w:ascii="Arial" w:hAnsi="Arial"/>
          <w:b/>
          <w:color w:val="1E3A8A"/>
          <w:sz w:val="34"/>
        </w:rPr>
        <w:t>四、 研究目的 (Research Objectives)</w:t>
      </w:r>
    </w:p>
    <w:p>
      <w:pPr>
        <w:spacing w:before="0" w:after="80"/>
      </w:pPr>
      <w:r>
        <w:rPr>
          <w:rFonts w:ascii="Arial" w:hAnsi="Arial"/>
          <w:color w:val="64748B"/>
          <w:sz w:val="22"/>
        </w:rPr>
        <w:t>明確列出本專題的研究目的與具體目標</w:t>
      </w:r>
    </w:p>
    <w:p>
      <w:pPr>
        <w:spacing w:before="0" w:after="160"/>
      </w:pPr>
      <w:r>
        <w:rPr>
          <w:rFonts w:ascii="Arial" w:hAnsi="Arial"/>
          <w:color w:val="2563EB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核心目的：</w:t>
      </w:r>
      <w:r>
        <w:rPr>
          <w:rFonts w:ascii="Arial" w:hAnsi="Arial"/>
          <w:color w:val="1F2937"/>
          <w:sz w:val="26"/>
        </w:rPr>
        <w:t>建立端到端低成本的隨機戰術評估模型。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具體目標 1：</w:t>
      </w:r>
      <w:r>
        <w:rPr>
          <w:rFonts w:ascii="Arial" w:hAnsi="Arial"/>
          <w:color w:val="1F2937"/>
          <w:sz w:val="26"/>
        </w:rPr>
        <w:t>解析求解各戰術空間之得分期望值 EPV。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具體目標 2：</w:t>
      </w:r>
      <w:r>
        <w:rPr>
          <w:rFonts w:ascii="Arial" w:hAnsi="Arial"/>
          <w:color w:val="1F2937"/>
          <w:sz w:val="26"/>
        </w:rPr>
        <w:t>以複雜網絡中心性量化球隊中樞依賴度。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具體目標 3：</w:t>
      </w:r>
      <w:r>
        <w:rPr>
          <w:rFonts w:ascii="Arial" w:hAnsi="Arial"/>
          <w:color w:val="1F2937"/>
          <w:sz w:val="26"/>
        </w:rPr>
        <w:t>驗證單核體系與五外平權體系抗壓韌性。</w:t>
      </w:r>
    </w:p>
    <w:p>
      <w:pPr>
        <w:keepNext/>
        <w:spacing w:before="360" w:after="80"/>
      </w:pPr>
      <w:r>
        <w:rPr>
          <w:rFonts w:ascii="Arial" w:hAnsi="Arial"/>
          <w:b/>
          <w:color w:val="1E3A8A"/>
          <w:sz w:val="34"/>
        </w:rPr>
        <w:t>五、 文獻回顧 (Literature Review)</w:t>
      </w:r>
    </w:p>
    <w:p>
      <w:pPr>
        <w:spacing w:before="0" w:after="80"/>
      </w:pPr>
      <w:r>
        <w:rPr>
          <w:rFonts w:ascii="Arial" w:hAnsi="Arial"/>
          <w:color w:val="64748B"/>
          <w:sz w:val="22"/>
        </w:rPr>
        <w:t>摘要過去相關研究並強調本研究之定位</w:t>
      </w:r>
    </w:p>
    <w:p>
      <w:pPr>
        <w:spacing w:before="0" w:after="160"/>
      </w:pPr>
      <w:r>
        <w:rPr>
          <w:rFonts w:ascii="Arial" w:hAnsi="Arial"/>
          <w:color w:val="2563EB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前人研究 1：</w:t>
      </w:r>
      <w:r>
        <w:rPr>
          <w:rFonts w:ascii="Arial" w:hAnsi="Arial"/>
          <w:color w:val="1F2937"/>
          <w:sz w:val="26"/>
        </w:rPr>
        <w:t>Cervone 等 (2014) 提出空間點過程 EPV。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前人研究 2：</w:t>
      </w:r>
      <w:r>
        <w:rPr>
          <w:rFonts w:ascii="Arial" w:hAnsi="Arial"/>
          <w:color w:val="1F2937"/>
          <w:sz w:val="26"/>
        </w:rPr>
        <w:t>Goldsberry (2012) 發表 CourtVision 投籃空間圖。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現存局限：</w:t>
      </w:r>
      <w:r>
        <w:rPr>
          <w:rFonts w:ascii="Arial" w:hAnsi="Arial"/>
          <w:color w:val="1F2937"/>
          <w:sz w:val="26"/>
        </w:rPr>
        <w:t>光學追蹤成本高，缺乏傳球網絡拓撲指標。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本研究定位：</w:t>
      </w:r>
      <w:r>
        <w:rPr>
          <w:rFonts w:ascii="Arial" w:hAnsi="Arial"/>
          <w:color w:val="1F2937"/>
          <w:sz w:val="26"/>
        </w:rPr>
        <w:t>以公開 PBP 資料實現輕量矩陣解析解。</w:t>
      </w:r>
    </w:p>
    <w:p>
      <w:pPr>
        <w:keepNext/>
        <w:spacing w:before="360" w:after="80"/>
      </w:pPr>
      <w:r>
        <w:rPr>
          <w:rFonts w:ascii="Arial" w:hAnsi="Arial"/>
          <w:b/>
          <w:color w:val="1E3A8A"/>
          <w:sz w:val="34"/>
        </w:rPr>
        <w:t>六、 研究方法 (Methodology)</w:t>
      </w:r>
    </w:p>
    <w:p>
      <w:pPr>
        <w:spacing w:before="0" w:after="80"/>
      </w:pPr>
      <w:r>
        <w:rPr>
          <w:rFonts w:ascii="Arial" w:hAnsi="Arial"/>
          <w:color w:val="64748B"/>
          <w:sz w:val="22"/>
        </w:rPr>
        <w:t>資料工程 API、文字探勘技巧、極座標離散化與馬可夫推導</w:t>
      </w:r>
    </w:p>
    <w:p>
      <w:pPr>
        <w:spacing w:before="0" w:after="160"/>
      </w:pPr>
      <w:r>
        <w:rPr>
          <w:rFonts w:ascii="Arial" w:hAnsi="Arial"/>
          <w:color w:val="2563EB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擷取 API：</w:t>
      </w:r>
      <w:r>
        <w:rPr>
          <w:rFonts w:ascii="Arial" w:hAnsi="Arial"/>
          <w:color w:val="1F2937"/>
          <w:sz w:val="26"/>
        </w:rPr>
        <w:t>nba_api 抓取 82 場 PlayByPlayV2 與賽程。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反爬技巧：</w:t>
      </w:r>
      <w:r>
        <w:rPr>
          <w:rFonts w:ascii="Arial" w:hAnsi="Arial"/>
          <w:color w:val="1F2937"/>
          <w:sz w:val="26"/>
        </w:rPr>
        <w:t>User-Agent 偽裝與指數退避 (Backoff)。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文本解析：</w:t>
      </w:r>
      <w:r>
        <w:rPr>
          <w:rFonts w:ascii="Arial" w:hAnsi="Arial"/>
          <w:color w:val="1F2937"/>
          <w:sz w:val="26"/>
        </w:rPr>
        <w:t>自定義 RegEx 擷取傳球者與出手座標。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正規化技巧：</w:t>
      </w:r>
      <w:r>
        <w:rPr>
          <w:rFonts w:ascii="Arial" w:hAnsi="Arial"/>
          <w:color w:val="1F2937"/>
          <w:sz w:val="26"/>
        </w:rPr>
        <w:t>NFKD 移除東歐變音符，避免節點分裂。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空間離散：</w:t>
      </w:r>
      <w:r>
        <w:rPr>
          <w:rFonts w:ascii="Arial" w:hAnsi="Arial"/>
          <w:color w:val="1F2937"/>
          <w:sz w:val="26"/>
        </w:rPr>
        <w:t>極座標 (r, θ) 劃分半場為 14 戰術狀態。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轉移矩陣：</w:t>
      </w:r>
      <w:r>
        <w:rPr>
          <w:rFonts w:ascii="Arial" w:hAnsi="Arial"/>
          <w:color w:val="1F2937"/>
          <w:sz w:val="26"/>
        </w:rPr>
        <w:t>構建 P = [Q  R ; 0  I] 吸收馬可夫鏈。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基本矩陣：</w:t>
      </w:r>
      <w:r>
        <w:rPr>
          <w:rFonts w:ascii="Arial" w:hAnsi="Arial"/>
          <w:color w:val="1F2937"/>
          <w:sz w:val="26"/>
        </w:rPr>
        <w:t>計算 N = (I - Q)⁻¹ 求解回歸期望步數。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價值解析解：</w:t>
      </w:r>
      <w:r>
        <w:rPr>
          <w:rFonts w:ascii="Arial" w:hAnsi="Arial"/>
          <w:color w:val="1F2937"/>
          <w:sz w:val="26"/>
        </w:rPr>
        <w:t>EPV = (I - Q)⁻¹ · R 向量矩陣乘積。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網絡圖定義：</w:t>
      </w:r>
      <w:r>
        <w:rPr>
          <w:rFonts w:ascii="Arial" w:hAnsi="Arial"/>
          <w:color w:val="1F2937"/>
          <w:sz w:val="26"/>
        </w:rPr>
        <w:t>G = (V, E, W)，球員為節點、傳球為權重。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983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architecture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83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Arial" w:hAnsi="Arial"/>
          <w:b/>
          <w:color w:val="475569"/>
          <w:sz w:val="22"/>
        </w:rPr>
        <w:t>Figure 1: End-to-End System Pipeline &amp; Architecture (API -&gt; NLP -&gt; Polar -&gt; Markov -&gt; Graph)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433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ov_model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3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Arial" w:hAnsi="Arial"/>
          <w:b/>
          <w:color w:val="475569"/>
          <w:sz w:val="22"/>
        </w:rPr>
        <w:t>Figure 2: Half-Court 14 Tactical Zones &amp; Absorbing Markov EPV Matrix Analytical Derivations</w:t>
      </w:r>
    </w:p>
    <w:p>
      <w:pPr>
        <w:keepNext/>
        <w:spacing w:before="360" w:after="80"/>
      </w:pPr>
      <w:r>
        <w:rPr>
          <w:rFonts w:ascii="Arial" w:hAnsi="Arial"/>
          <w:b/>
          <w:color w:val="1E3A8A"/>
          <w:sz w:val="34"/>
        </w:rPr>
        <w:t>七、 研究結果 (Results)</w:t>
      </w:r>
    </w:p>
    <w:p>
      <w:pPr>
        <w:spacing w:before="0" w:after="80"/>
      </w:pPr>
      <w:r>
        <w:rPr>
          <w:rFonts w:ascii="Arial" w:hAnsi="Arial"/>
          <w:color w:val="64748B"/>
          <w:sz w:val="22"/>
        </w:rPr>
        <w:t>三隊實證量化數據、表格與傳球網絡視覺化對比</w:t>
      </w:r>
    </w:p>
    <w:p>
      <w:pPr>
        <w:spacing w:before="0" w:after="160"/>
      </w:pPr>
      <w:r>
        <w:rPr>
          <w:rFonts w:ascii="Arial" w:hAnsi="Arial"/>
          <w:color w:val="2563EB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樣本規模：</w:t>
      </w:r>
      <w:r>
        <w:rPr>
          <w:rFonts w:ascii="Arial" w:hAnsi="Arial"/>
          <w:color w:val="1F2937"/>
          <w:sz w:val="26"/>
        </w:rPr>
        <w:t>三支頂尖強隊共計 246 場例行賽全樣本。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金塊結果：</w:t>
      </w:r>
      <w:r>
        <w:rPr>
          <w:rFonts w:ascii="Arial" w:hAnsi="Arial"/>
          <w:color w:val="1F2937"/>
          <w:sz w:val="26"/>
        </w:rPr>
        <w:t>Jokic 佔傳球樞紐 29.2%，衰減最為陡峭。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勇士結果：</w:t>
      </w:r>
      <w:r>
        <w:rPr>
          <w:rFonts w:ascii="Arial" w:hAnsi="Arial"/>
          <w:color w:val="1F2937"/>
          <w:sz w:val="26"/>
        </w:rPr>
        <w:t>Curry (19.6%) 與 Klay (23.6%) 形成外線雙核。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塞爾提克結果：</w:t>
      </w:r>
      <w:r>
        <w:rPr>
          <w:rFonts w:ascii="Arial" w:hAnsi="Arial"/>
          <w:color w:val="1F2937"/>
          <w:sz w:val="26"/>
        </w:rPr>
        <w:t>五大核心份額極均勻 (11.8% ~ 14.0%)。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球隊體系</w:t>
            </w:r>
          </w:p>
        </w:tc>
        <w:tc>
          <w:tcPr>
            <w:tcW w:type="dxa" w:w="252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主要戰術核心</w:t>
            </w:r>
          </w:p>
        </w:tc>
        <w:tc>
          <w:tcPr>
            <w:tcW w:type="dxa" w:w="252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Top-1 集中度</w:t>
            </w:r>
          </w:p>
        </w:tc>
        <w:tc>
          <w:tcPr>
            <w:tcW w:type="dxa" w:w="252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拓撲網絡結構特徵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23"/>
              </w:rPr>
              <w:t>丹佛金塊 (Nuggets)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23"/>
              </w:rPr>
              <w:t>Nikola Jokic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23"/>
              </w:rPr>
              <w:t>29.2%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23"/>
              </w:rPr>
              <w:t>高位頂點中樞，單點依賴最深</w:t>
            </w:r>
          </w:p>
        </w:tc>
      </w:tr>
      <w:tr>
        <w:tc>
          <w:tcPr>
            <w:tcW w:type="dxa" w:w="25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23"/>
              </w:rPr>
              <w:t>金州勇士 (Warriors)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23"/>
              </w:rPr>
              <w:t>Curry / Thompson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23"/>
              </w:rPr>
              <w:t>23.6%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23"/>
              </w:rPr>
              <w:t>外線無球雙核，強弱側高速轉移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23"/>
              </w:rPr>
              <w:t>波士頓塞爾提克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23"/>
              </w:rPr>
              <w:t>Tatum / Brown 五人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23"/>
              </w:rPr>
              <w:t>14.0%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23"/>
              </w:rPr>
              <w:t>5-Out 平權網絡，抗包夾韌性最強</w:t>
            </w:r>
          </w:p>
        </w:tc>
      </w:tr>
    </w:tbl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7728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ctical_comparison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72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Arial" w:hAnsi="Arial"/>
          <w:b/>
          <w:color w:val="475569"/>
          <w:sz w:val="22"/>
        </w:rPr>
        <w:t>Figure 3: Multi-Team Directed Passing Topologies, Hub Centrality Shares &amp; Top-5 Decay Slopes</w:t>
      </w:r>
    </w:p>
    <w:p>
      <w:pPr>
        <w:keepNext/>
        <w:spacing w:before="360" w:after="80"/>
      </w:pPr>
      <w:r>
        <w:rPr>
          <w:rFonts w:ascii="Arial" w:hAnsi="Arial"/>
          <w:b/>
          <w:color w:val="1E3A8A"/>
          <w:sz w:val="34"/>
        </w:rPr>
        <w:t>八、 結果討論 (Discussion)</w:t>
      </w:r>
    </w:p>
    <w:p>
      <w:pPr>
        <w:spacing w:before="0" w:after="80"/>
      </w:pPr>
      <w:r>
        <w:rPr>
          <w:rFonts w:ascii="Arial" w:hAnsi="Arial"/>
          <w:color w:val="64748B"/>
          <w:sz w:val="22"/>
        </w:rPr>
        <w:t>解釋研究結果、分析戰術意義與討論防守策略影響</w:t>
      </w:r>
    </w:p>
    <w:p>
      <w:pPr>
        <w:spacing w:before="0" w:after="160"/>
      </w:pPr>
      <w:r>
        <w:rPr>
          <w:rFonts w:ascii="Arial" w:hAnsi="Arial"/>
          <w:color w:val="2563EB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結果解釋：</w:t>
      </w:r>
      <w:r>
        <w:rPr>
          <w:rFonts w:ascii="Arial" w:hAnsi="Arial"/>
          <w:color w:val="1F2937"/>
          <w:sz w:val="26"/>
        </w:rPr>
        <w:t>拓撲集中度直接反映球隊進攻組織哲學。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戰術意義：</w:t>
      </w:r>
      <w:r>
        <w:rPr>
          <w:rFonts w:ascii="Arial" w:hAnsi="Arial"/>
          <w:color w:val="1F2937"/>
          <w:sz w:val="26"/>
        </w:rPr>
        <w:t>高網絡熵體系在季後賽更具抗壓容錯率。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防守影響 1：</w:t>
      </w:r>
      <w:r>
        <w:rPr>
          <w:rFonts w:ascii="Arial" w:hAnsi="Arial"/>
          <w:color w:val="1F2937"/>
          <w:sz w:val="26"/>
        </w:rPr>
        <w:t>面對金塊應採高位夾擊切斷中樞傳導。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防守影響 2：</w:t>
      </w:r>
      <w:r>
        <w:rPr>
          <w:rFonts w:ascii="Arial" w:hAnsi="Arial"/>
          <w:color w:val="1F2937"/>
          <w:sz w:val="26"/>
        </w:rPr>
        <w:t>面對綠衫軍包夾失效，須單防換防應對。</w:t>
      </w:r>
    </w:p>
    <w:p>
      <w:pPr>
        <w:keepNext/>
        <w:spacing w:before="360" w:after="80"/>
      </w:pPr>
      <w:r>
        <w:rPr>
          <w:rFonts w:ascii="Arial" w:hAnsi="Arial"/>
          <w:b/>
          <w:color w:val="1E3A8A"/>
          <w:sz w:val="34"/>
        </w:rPr>
        <w:t>九、 結論與展望 (Conclusion &amp; Future Work)</w:t>
      </w:r>
    </w:p>
    <w:p>
      <w:pPr>
        <w:spacing w:before="0" w:after="80"/>
      </w:pPr>
      <w:r>
        <w:rPr>
          <w:rFonts w:ascii="Arial" w:hAnsi="Arial"/>
          <w:color w:val="64748B"/>
          <w:sz w:val="22"/>
        </w:rPr>
        <w:t>摘要主要發現並提出未來進階研究方向</w:t>
      </w:r>
    </w:p>
    <w:p>
      <w:pPr>
        <w:spacing w:before="0" w:after="160"/>
      </w:pPr>
      <w:r>
        <w:rPr>
          <w:rFonts w:ascii="Arial" w:hAnsi="Arial"/>
          <w:color w:val="2563EB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主要發現：</w:t>
      </w:r>
      <w:r>
        <w:rPr>
          <w:rFonts w:ascii="Arial" w:hAnsi="Arial"/>
          <w:color w:val="1F2937"/>
          <w:sz w:val="26"/>
        </w:rPr>
        <w:t>馬可夫吸收鏈成功解析量化半場戰術。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核心貢獻：</w:t>
      </w:r>
      <w:r>
        <w:rPr>
          <w:rFonts w:ascii="Arial" w:hAnsi="Arial"/>
          <w:color w:val="1F2937"/>
          <w:sz w:val="26"/>
        </w:rPr>
        <w:t>免百萬追蹤鏡頭，實現輕量即時決策。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未來方向 1：</w:t>
      </w:r>
      <w:r>
        <w:rPr>
          <w:rFonts w:ascii="Arial" w:hAnsi="Arial"/>
          <w:color w:val="1F2937"/>
          <w:sz w:val="26"/>
        </w:rPr>
        <w:t>二階 Semi-Markov 納入 24 秒時間衰減。</w:t>
      </w:r>
    </w:p>
    <w:p>
      <w:pPr>
        <w:spacing w:before="40" w:after="60" w:line="300" w:lineRule="auto"/>
      </w:pPr>
      <w:r>
        <w:rPr>
          <w:rFonts w:ascii="Arial" w:hAnsi="Arial"/>
          <w:b/>
          <w:color w:val="1E3A8A"/>
          <w:sz w:val="26"/>
        </w:rPr>
        <w:t>⚡ 未來方向 2：</w:t>
      </w:r>
      <w:r>
        <w:rPr>
          <w:rFonts w:ascii="Arial" w:hAnsi="Arial"/>
          <w:color w:val="1F2937"/>
          <w:sz w:val="26"/>
        </w:rPr>
        <w:t>MDP 強化學習求解動態最優防守策略。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5456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lusion_and_roa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45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Arial" w:hAnsi="Arial"/>
          <w:b/>
          <w:color w:val="475569"/>
          <w:sz w:val="22"/>
        </w:rPr>
        <w:t>Figure 4: Core Scientific Contributions &amp; Two-Stage Future Research Roadmap (Semi-Markov &amp; Deep RL)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Arial" w:hAnsi="Arial"/>
      <w:color w:val="1F2937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