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经营制度</w:t>
      </w:r>
    </w:p>
    <w:p>
      <w:r>
        <w:t>本月运营指标总体平稳，重点指标为 83 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分行</w:t>
            </w:r>
          </w:p>
        </w:tc>
        <w:tc>
          <w:tcPr>
            <w:tcW w:type="dxa" w:w="2880"/>
          </w:tcPr>
          <w:p>
            <w:r>
              <w:t>指标值</w:t>
            </w:r>
          </w:p>
        </w:tc>
        <w:tc>
          <w:tcPr>
            <w:tcW w:type="dxa" w:w="2880"/>
          </w:tcPr>
          <w:p>
            <w:r>
              <w:t>排名</w:t>
            </w:r>
          </w:p>
        </w:tc>
      </w:tr>
      <w:tr>
        <w:tc>
          <w:tcPr>
            <w:tcW w:type="dxa" w:w="2880"/>
          </w:tcPr>
          <w:p>
            <w:r>
              <w:t>北京分行</w:t>
            </w:r>
          </w:p>
        </w:tc>
        <w:tc>
          <w:tcPr>
            <w:tcW w:type="dxa" w:w="2880"/>
          </w:tcPr>
          <w:p>
            <w:r>
              <w:t>0.83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内部经营材料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