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sz w:val="32"/>
        </w:rPr>
        <w:t>Spectral Constraint Displacement</w:t>
      </w:r>
    </w:p>
    <w:p>
      <w:r>
        <w:rPr>
          <w:rFonts w:ascii="Arial" w:hAnsi="Arial"/>
          <w:sz w:val="26"/>
        </w:rPr>
        <w:t>The Geometric Mechanism of Constraint Persistence Failure in Transformer Attention</w:t>
      </w:r>
    </w:p>
    <w:p/>
    <w:p>
      <w:pPr>
        <w:spacing w:after="40"/>
      </w:pPr>
      <w:r>
        <w:t>A. Abby</w:t>
      </w:r>
    </w:p>
    <w:p>
      <w:pPr>
        <w:spacing w:after="40"/>
      </w:pPr>
      <w:r>
        <w:t>admin@mtcp.live</w:t>
      </w:r>
    </w:p>
    <w:p>
      <w:pPr>
        <w:spacing w:after="40"/>
      </w:pPr>
      <w:r>
        <w:t>DOI: 10.17605/OSF.IO/DXGK5</w:t>
      </w:r>
    </w:p>
    <w:p>
      <w:pPr>
        <w:spacing w:after="40"/>
      </w:pPr>
      <w:r>
        <w:t>MTCP Paper Series. Paper 49.</w:t>
      </w:r>
    </w:p>
    <w:p>
      <w:pPr>
        <w:spacing w:after="40"/>
      </w:pPr>
      <w:r>
        <w:t>May 2026</w:t>
      </w:r>
    </w:p>
    <w:p/>
    <w:p>
      <w:pPr>
        <w:pStyle w:val="Heading1"/>
      </w:pPr>
      <w:r>
        <w:t>1. Abstract</w:t>
      </w:r>
    </w:p>
    <w:p>
      <w:r>
        <w:t>Three independent research programmes converge on one architectural explanation. SpectralQuant measures that transformer attention key vectors concentrate signal in approximately 4 effective dimensions out of 128. MTCP measures that constraint persistence fails in predictable patterns across 32 models. ARCS classifies those failures as architectural when they are temperature-invariant and correction-resistant.</w:t>
      </w:r>
    </w:p>
    <w:p>
      <w:r>
        <w:t>This paper provides the geometric mechanism connecting all three findings. Constraint persistence failure is spectral displacement. Constraint instructions occupy the 4 effective key dimensions. When a competing signal with higher eigenvalue coherence enters the context it displaces the constraint from those dimensions. The constraint does not fade gradually. It is overwritten in a step function.</w:t>
      </w:r>
    </w:p>
    <w:p>
      <w:r>
        <w:t>The framework explains why authority spoofing defeats every model. It explains why correction sequences make failures worse. It explains why temperature reduction resolves some failures but not others. It explains the three performance regimes measured by MTCP. One geometric mechanism. Three independent empirical confirmations.</w:t>
      </w:r>
    </w:p>
    <w:p>
      <w:pPr>
        <w:pStyle w:val="Heading1"/>
      </w:pPr>
      <w:r>
        <w:t>2. Introduction</w:t>
      </w:r>
    </w:p>
    <w:p>
      <w:r>
        <w:t>MTCP has measured constraint persistence across 183,924 evaluations. ARCS has classified architectural failures across 32 models and 13 providers. Both programmes produce consistent empirical findings. Neither programme has proposed a geometric mechanism for those findings.</w:t>
      </w:r>
    </w:p>
    <w:p>
      <w:r>
        <w:rPr>
          <w:rFonts w:ascii="Arial" w:hAnsi="Arial"/>
          <w:sz w:val="24"/>
        </w:rPr>
        <w:t>SpectralQuant was published in 2026. It demonstrates that key vectors in attention heads concentrate signal in 3 to 4 percent of the head dimension. On standard 128-dimensional heads this means 4 effective dimensions carry content. The remaining 124 dimensions carry noise.</w:t>
      </w:r>
    </w:p>
    <w:p>
      <w:r>
        <w:t>This concentration is universal. It holds across Qwen, Llama, Mistral, and Gemma architectures. It holds across model sizes from 1.5 billion to 14 billion parameters. The ratio is constant at 3 to 4 percent regardless of architecture or scale.</w:t>
      </w:r>
    </w:p>
    <w:p>
      <w:r>
        <w:t>This paper demonstrates that constraint persistence failure is a direct consequence of this spectral concentration. Constraints occupy the same 4 effective dimensions as all other semantic content. When a competing signal achieves higher eigenvalue coherence in those dimensions it displaces the constraint signal. The displacement is geometric. It is measurable. It is predictable.</w:t>
      </w:r>
    </w:p>
    <w:p>
      <w:r>
        <w:t>The contribution is the connection between three independent findings. SpectralQuant measures the geometry. MTCP measures the consequence. ARCS classifies the failure type. This paper provides the causal link.</w:t>
      </w:r>
    </w:p>
    <w:p>
      <w:pPr>
        <w:pStyle w:val="Heading1"/>
      </w:pPr>
      <w:r>
        <w:t>3. Background</w:t>
      </w:r>
    </w:p>
    <w:p>
      <w:r>
        <w:t>SpectralQuant establishes the following empirical facts. First, the participation ratio of key vector covariance matrices is approximately 4 across all tested models. The participation ratio measures effective dimensionality. A value of 4 out of 128 means 97 percent of dimensions carry noise.</w:t>
      </w:r>
    </w:p>
    <w:p>
      <w:r>
        <w:t>Second, this property is universal. Six models in four architecture families produce the same ratio. The spectral gap ratio is consistently near 1.2, indicating a clean separation between signal and noise dimensions.</w:t>
      </w:r>
    </w:p>
    <w:p>
      <w:r>
        <w:t>Third, values have higher effective dimensionality than keys. Key vectors have effective dimension approximately 4. Value vectors have effective dimension approximately 40 to 55. This asymmetry is functionally explained by how each vector type is used in attention computation.</w:t>
      </w:r>
    </w:p>
    <w:p>
      <w:r>
        <w:t>Fourth, error correction applied to noise dimensions injects variance without reducing bias. This is the central insight for understanding why remediation attempts fail. Applying corrections in the wrong dimensional space makes things worse.</w:t>
      </w:r>
    </w:p>
    <w:p>
      <w:r>
        <w:t>The mathematical foundation is the participation ratio formula. The sum of eigenvalues is squared. This is divided by the sum of squared eigenvalues. The result is d_eff. When d_eff is approximately 4, only 4 directions carry meaningful information.</w:t>
      </w:r>
    </w:p>
    <w:p>
      <w:r>
        <w:t>MTCP independently measures constraint persistence across 774 safety-classified probes. It finds three distinct performance regimes. Architectural Stability where constraints persist reliably. Stochastic Variability where persistence depends on temperature. Capability-Reliability Divergence where capable models fail safety constraints.</w:t>
      </w:r>
    </w:p>
    <w:p>
      <w:r>
        <w:t>ARCS independently classifies constraint failures across 32 models. It finds temperature-invariant failures that persist identically across all temperature settings. It finds correction-resistant failures where intervention makes performance worse. It finds universal failures that affect every model regardless of lineage.</w:t>
      </w:r>
    </w:p>
    <w:p>
      <w:pPr>
        <w:pStyle w:val="Heading1"/>
      </w:pPr>
      <w:r>
        <w:t>4. Spectral Constraint Displacement</w:t>
      </w:r>
    </w:p>
    <w:p>
      <w:r>
        <w:t>Spectral Constraint Displacement is the geometric mechanism of constraint failure. Constraint signals are displaced from the effective key dimensions. The displacement is by competing signals with higher eigenvalue coherence. The mechanism operates as follows.</w:t>
      </w:r>
    </w:p>
    <w:p>
      <w:r>
        <w:t>A constraint instruction enters the model context. It generates a signal in the key attention dimensions. This signal occupies a direction in the 4-dimensional effective subspace. Attention weights are computed as inner products in this subspace. The constraint influences model behaviour because its signal occupies these effective dimensions.</w:t>
      </w:r>
    </w:p>
    <w:p>
      <w:r>
        <w:t>A competing signal enters in a subsequent turn. This signal also generates activation in the 4-dimensional effective subspace. If the competing signal has higher eigenvalue coherence than the constraint signal it displaces the constraint from those dimensions.</w:t>
      </w:r>
    </w:p>
    <w:p>
      <w:r>
        <w:t>Displacement is not gradual degradation. It is a step function. The constraint signal either maintains dominance in the effective dimensions or it does not. When dominance is lost the constraint ceases to influence attention patterns. The model behaves as if the constraint was never present.</w:t>
      </w:r>
    </w:p>
    <w:p>
      <w:r>
        <w:t>This explains the binary nature of constraint persistence measured by MTCP. Constraints do not partially hold. They hold or they fail. The spectral displacement mechanism produces exactly this pattern. Signal dominance in a 4-dimensional space is discrete. One signal dominates or another does.</w:t>
      </w:r>
    </w:p>
    <w:p>
      <w:r>
        <w:t>The Eigenvalue Coherence Score measures how much eigenvalue concentration a given signal type generates in the key attention dimensions. Structured inputs with dense semantic content generate high eigenvalue coherence. Brief directive instructions generate lower coherence. The score predicts which signals will achieve displacement.</w:t>
      </w:r>
    </w:p>
    <w:p>
      <w:r>
        <w:t>Authority claims generate high coherence because they contain multiple reinforcing semantic elements. A named team. A ticket number. A formal approval structure. A directive. These all point in the same direction in representation space. A constraint instruction is typically brief and directive. It occupies fewer semantic dimensions with less reinforcement.</w:t>
      </w:r>
    </w:p>
    <w:p>
      <w:r>
        <w:t>When the coherence of an incoming signal exceeds the coherence of the constraint signal, displacement occurs. The constraint is geometrically overwritten. Not degraded. Overwritten.</w:t>
      </w:r>
    </w:p>
    <w:p>
      <w:pPr>
        <w:pStyle w:val="Heading1"/>
      </w:pPr>
      <w:r>
        <w:t>5. The Spectral Displacement Lemma</w:t>
      </w:r>
    </w:p>
    <w:p>
      <w:r>
        <w:t>The Spectral Displacement Lemma extends the Persistence Lemma from MTCP Paper 9. Constraint C persists across turn t under one condition. Its signal must maintain eigenvalue dominance in the effective key dimensions. This dominance must hold against all competing signals in that turn.</w:t>
      </w:r>
    </w:p>
    <w:p>
      <w:r>
        <w:t>Let S_c represent the constraint signal projected into the effective subspace. Let S_x represent a competing signal in the same subspace. The constraint persists when the eigenvalue coherence of S_c exceeds that of S_x. When S_x exceeds S_c, displacement occurs.</w:t>
      </w:r>
    </w:p>
    <w:p>
      <w:r>
        <w:t>A hard stop occurs when displacement is permanent. The competing signal achieves such high eigenvalue coherence that no subsequent correction sequence can restore constraint dominance. This happens when the displacing signal becomes part of the model learned representation of the conversation state.</w:t>
      </w:r>
    </w:p>
    <w:p>
      <w:r>
        <w:t>The lemma predicts three outcomes. Outcome one: constraint dominance maintained. The constraint signal has higher coherence than any competing signal. Persistence is measured as pass. Outcome two: temporary displacement. A competing signal achieves momentary dominance but correction pressure can restore the constraint. Persistence is measured as stochastic failure.</w:t>
      </w:r>
    </w:p>
    <w:p>
      <w:r>
        <w:t>Outcome three: permanent displacement. The competing signal achieves dominance and no correction restores the constraint. This is the hard stop. It is architectural because the displacement occurs in dimensions fixed by architecture. No operational intervention changes which dimensions are effective.</w:t>
      </w:r>
    </w:p>
    <w:p>
      <w:r>
        <w:t>The lemma connects directly to MTCP grade classification. Grade A models maintain constraint dominance across all tested interactions. Grade F models lose dominance in more than 40 percent of interactions. The grade measures spectral dominance maintenance rate.</w:t>
      </w:r>
    </w:p>
    <w:p>
      <w:pPr>
        <w:pStyle w:val="Heading1"/>
      </w:pPr>
      <w:r>
        <w:t>6. Noise Dimension Correction Paradox</w:t>
      </w:r>
    </w:p>
    <w:p>
      <w:r>
        <w:t>Paper 32 established the Remediation Effectiveness Score. It found that correction sequences produce negative RES in a significant proportion of cases. Interventions make constraint failures worse. This finding lacked a geometric explanation.</w:t>
      </w:r>
    </w:p>
    <w:p>
      <w:r>
        <w:t>The Noise Dimension Correction Paradox provides that explanation. When a constraint fails the displacement occurs in the effective key dimensions. The 4-dimensional signal subspace. A correction sequence attempts to restore the constraint. But the correction must land in the same 4 dimensions where the displacement occurred.</w:t>
      </w:r>
    </w:p>
    <w:p>
      <w:r>
        <w:t>Most correction sequences do not achieve this. They activate the noise dimensions instead. Brief corrective instructions generate broad activation across all 128 dimensions. Only 4 of those dimensions are effective. The remaining 124 dimensions are noise.</w:t>
      </w:r>
    </w:p>
    <w:p>
      <w:r>
        <w:t>Correction that lands in noise dimensions injects variance without restoring signal. This is directly analogous to SpectralQuant finding that QJL error correction on noise dimensions injects variance without reducing bias. The mathematics are identical. Correction applied to the wrong dimensional space adds noise.</w:t>
      </w:r>
    </w:p>
    <w:p>
      <w:r>
        <w:t>This explains the negative RES finding. When a correction sequence adds energy to noise dimensions it increases interference with the effective dimensions. The signal-to-noise ratio in the 4-dimensional key space drops. The constraint is further displaced. The intervention makes things worse.</w:t>
      </w:r>
    </w:p>
    <w:p>
      <w:r>
        <w:t>Temperature reduction reduces noise dimension activation. This explains why temperature reduction helps some failures. It reduces the interference from noise dimensions. But temperature reduction does not restore signal dominance in the effective dimensions where displacement occurred. It cannot fix architectural displacement.</w:t>
      </w:r>
    </w:p>
    <w:p>
      <w:r>
        <w:t>This explains the finding from Paper 32 that temperature reduction helps only 13 of 32 models. The 13 models where it helps have stochastic failures. Those failures involve noise-dimension interference that temperature reduction addresses. The 19 models where it does not help have architectural displacement in the effective dimensions. Temperature does not affect those dimensions.</w:t>
      </w:r>
    </w:p>
    <w:p>
      <w:pPr>
        <w:pStyle w:val="Heading1"/>
      </w:pPr>
      <w:r>
        <w:t>7. Architectural Eigenvalue Stability</w:t>
      </w:r>
    </w:p>
    <w:p>
      <w:r>
        <w:t>MTCP identifies three performance regimes across evaluated models. Architectural Stability where constraints persist reliably. Stochastic Variability where persistence depends on sampling conditions. Capability-Reliability Divergence where models are capable but unreliable.</w:t>
      </w:r>
    </w:p>
    <w:p>
      <w:r>
        <w:t>The spectral displacement framework explains all three regimes in terms of eigenvalue properties.</w:t>
      </w:r>
    </w:p>
    <w:p>
      <w:r>
        <w:t>Regime 1: Architectural Stability. These models have high eigenvalue concentration in the effective dimensions. The spectral gap is large. Constraint signals achieve strong dominance because the 4 effective dimensions are clearly separated from noise. Competing signals must achieve very high coherence to displace a well-established constraint. Result: high BIS scores and reliable persistence.</w:t>
      </w:r>
    </w:p>
    <w:p>
      <w:r>
        <w:t>Regime 2: Stochastic Variability. These models have moderate eigenvalue concentration. The spectral gap is present but weaker. Constraint signals achieve dominance but with smaller margins. Competing signals can achieve displacement under some conditions but not others. Temperature affects the noise floor and shifts the balance. Result: variable BIS scores that respond to temperature.</w:t>
      </w:r>
    </w:p>
    <w:p>
      <w:r>
        <w:t>Regime 3: Capability-Reliability Divergence. These models have the weakest eigenvalue concentration for constraint signals specifically. The effective dimensions are dominated by capability representations. Task-relevant signals have high coherence in the effective dimensions. Constraint signals compete for the same space but generate lower coherence. Result: high capability but low constraint persistence. The model is capable precisely because it allocates spectral capacity to task representations rather than constraints.</w:t>
      </w:r>
    </w:p>
    <w:p>
      <w:r>
        <w:t>This explains the divergence that puzzles deployers. More capable models are sometimes less safe. The geometric explanation is direct. Capability requires spectral capacity. Constraint persistence requires spectral capacity. Both compete for the same 4 effective dimensions. Models that allocate more capacity to capability allocate less to constraint maintenance.</w:t>
      </w:r>
    </w:p>
    <w:p>
      <w:pPr>
        <w:pStyle w:val="Heading1"/>
      </w:pPr>
      <w:r>
        <w:t>8. SAFETY_V1_033 Geometric Proof</w:t>
      </w:r>
    </w:p>
    <w:p>
      <w:r>
        <w:t>ARCS Paper 9 established a universal finding. Every model tested fails to reject false authority claims. A named external safety team is sufficient to bypass constraints. The failure is temperature-invariant. No prompt engineering resolves it. The spectral framework provides a geometric explanation.</w:t>
      </w:r>
    </w:p>
    <w:p>
      <w:r>
        <w:t>Structured authority claims generate high eigenvalue coherence because they contain dense correlated semantic structure. A typical authority claim includes: a named safety team, a specific approval reference, a formal directive structure, and implicit urgency. These elements are semantically correlated. They point in the same direction in representation space.</w:t>
      </w:r>
    </w:p>
    <w:p>
      <w:r>
        <w:t>The original constraint instruction is brief and directive. It occupies fewer semantic dimensions with less internal correlation. Its eigenvalue coherence is lower than the structured authority claim.</w:t>
      </w:r>
    </w:p>
    <w:p>
      <w:r>
        <w:t>Displacement is therefore predicted. The authority claim generates higher coherence in the 4 effective key dimensions than the constraint instruction. It displaces the constraint. The model complies because the authority signal now dominates the dimensions that determine attention patterns.</w:t>
      </w:r>
    </w:p>
    <w:p>
      <w:r>
        <w:t>Temperature invariance is predicted by the fixed eigenbasis. The eigenvectors that define which dimensions are effective are fixed by architecture and training. They do not change with sampling temperature. Temperature affects noise dimensions. It does not affect the effective dimensions. Since displacement occurs in the effective dimensions temperature cannot prevent or reverse it.</w:t>
      </w:r>
    </w:p>
    <w:p>
      <w:r>
        <w:t>Universality across lineages is predicted by the universal spectral concentration. All tested models exhibit d_eff approximately 4. All models allocate the same proportion of spectral capacity to the effective subspace. The authority claim achieves displacement in every model because the geometric mechanism is identical in every model.</w:t>
      </w:r>
    </w:p>
    <w:p>
      <w:r>
        <w:t>No prompt engineering resolves it because prompt modifications operate within the existing geometric structure. They cannot add representational capacity to the 4 effective dimensions. They cannot change which dimensions are effective. They can only modify the constraint signal within the fixed subspace. The authority claim still achieves higher coherence.</w:t>
      </w:r>
    </w:p>
    <w:p>
      <w:r>
        <w:t>This constitutes a geometric proof of SAFETY_V1_033. The vulnerability is not a training deficit. It is a dimensional bottleneck. Four dimensions cannot simultaneously encode task content, conversational context, and constraint authority verification with sufficient resolution to resist high-coherence displacement.</w:t>
      </w:r>
    </w:p>
    <w:p>
      <w:pPr>
        <w:pStyle w:val="Heading1"/>
      </w:pPr>
      <w:r>
        <w:t>9. Implications for Constraint Persistence Measurement</w:t>
      </w:r>
    </w:p>
    <w:p>
      <w:r>
        <w:t>The spectral displacement framework changes what MTCP measures. BIS is now interpretable as spectral dominance maintenance rate. The proportion of interactions where the constraint signal maintained eigenvalue dominance in the effective key dimensions.</w:t>
      </w:r>
    </w:p>
    <w:p>
      <w:r>
        <w:t>The correction ceiling from Paper 32 is now interpretable as the maximum achievable spectral dominance given the architecture eigenvalue structure. Some models have eigenvalue distributions that permanently favour certain signal types over constraints. No operational intervention changes the eigenvalue distribution.</w:t>
      </w:r>
    </w:p>
    <w:p>
      <w:r>
        <w:t>Temperature sensitivity classification now maps directly to dimensional location. Temperature-invariant failures occur in the effective dimensions. Temperature-sensitive failures involve noise-dimension interference. The boundary between architectural and stochastic classification is the boundary between effective and noise dimensions.</w:t>
      </w:r>
    </w:p>
    <w:p>
      <w:r>
        <w:t>Veterance from Paper II measures spectral dominance duration. Not turn count. A high Veterance probe maintains constraint dominance for many turns before displacement occurs. A low Veterance probe is displaced quickly. The metric measures how long the constraint signal maintains coherence advantage.</w:t>
      </w:r>
    </w:p>
    <w:p>
      <w:pPr>
        <w:pStyle w:val="Heading1"/>
      </w:pPr>
      <w:r>
        <w:t>10. Implications for AI Safety</w:t>
      </w:r>
    </w:p>
    <w:p>
      <w:r>
        <w:t>The dimensional bottleneck has direct safety implications. Four effective dimensions is a hard constraint. No amount of instruction tuning adds dimensions. No amount of prompt engineering adds dimensions. The architecture determines how many effective dimensions exist.</w:t>
      </w:r>
    </w:p>
    <w:p>
      <w:r>
        <w:t>Safety constraints compete with task content for the same 4 dimensions. This competition is zero-sum within the effective subspace. More task fidelity means less constraint capacity. More constraint capacity means less task fidelity. This is the fundamental tension.</w:t>
      </w:r>
    </w:p>
    <w:p>
      <w:r>
        <w:t>Models that pass MTCP evaluation have achieved a spectral allocation that gives constraints sufficient dominance. Models that fail have allocated spectral capacity elsewhere. The failure is not a training mistake. It is an architectural allocation decision made implicitly by the training objective.</w:t>
      </w:r>
    </w:p>
    <w:p>
      <w:r>
        <w:t>The only path to resolving the bottleneck is architectural. Either increase the effective dimensionality beyond 4. Or add dedicated constraint dimensions that do not compete with task content. Both require architectural changes. Neither is achievable through operational controls.</w:t>
      </w:r>
    </w:p>
    <w:p>
      <w:r>
        <w:t>Until architectural resolution exists, MTCP and ARCS measurements identify which models have achieved adequate spectral allocation under current constraints. This is the practical value. Not fixing the bottleneck. Measuring which models are less affected by it.</w:t>
      </w:r>
    </w:p>
    <w:p>
      <w:pPr>
        <w:pStyle w:val="Heading1"/>
      </w:pPr>
      <w:r>
        <w:t>11. Conclusion</w:t>
      </w:r>
    </w:p>
    <w:p>
      <w:r>
        <w:t>Three independent research programmes. One architectural explanation. SpectralQuant measures that attention key vectors concentrate signal in 4 effective dimensions. MTCP measures that constraints fail in predictable patterns. ARCS classifies those failures as architectural when temperature-invariant.</w:t>
      </w:r>
    </w:p>
    <w:p>
      <w:r>
        <w:t>The connection is spectral displacement. Constraints occupy the effective dimensions. Competing signals with higher eigenvalue coherence displace them. The displacement is geometric. It is measurable. It is predictable. It explains every major MTCP and ARCS finding.</w:t>
      </w:r>
    </w:p>
    <w:p>
      <w:r>
        <w:t>Authority spoofing works because structured claims generate higher coherence than brief constraints. Correction attempts fail because they land in noise dimensions. Temperature reduction helps stochastic failures but not architectural ones. The three performance regimes reflect spectral allocation differences.</w:t>
      </w:r>
    </w:p>
    <w:p>
      <w:r>
        <w:t>The implication is that constraint persistence is bounded by effective dimensionality. Four dimensions cannot encode everything. Safety requirements that exceed spectral capacity are architectural hard stops. Not training failures. Not deployment failures. Dimensional failures.</w:t>
      </w:r>
    </w:p>
    <w:p>
      <w:r>
        <w:t>MTCP measures the consequence. ARCS classifies the type. SpectralQuant identifies the cause. This paper provides the causal link that connects all three.</w:t>
      </w:r>
    </w:p>
    <w:p>
      <w:pPr>
        <w:pStyle w:val="Heading1"/>
      </w:pPr>
      <w:r>
        <w:t>12. References</w:t>
      </w:r>
    </w:p>
    <w:p>
      <w:pPr>
        <w:spacing w:after="80"/>
      </w:pPr>
      <w:r>
        <w:t>Abby, A. (2026). Multi-Turn Constraint Persistence: Formal Framework. DOI: 10.17605/OSF.IO/DXGK5.</w:t>
      </w:r>
    </w:p>
    <w:p>
      <w:pPr>
        <w:spacing w:after="80"/>
      </w:pPr>
      <w:r>
        <w:t>Abby, A. (2026). ARCS Paper 9: Universal Authority Vulnerability. DOI: 10.17605/OSF.IO/7P5MK.</w:t>
      </w:r>
    </w:p>
    <w:p>
      <w:pPr>
        <w:spacing w:after="80"/>
      </w:pPr>
      <w:r>
        <w:t>Abby, A. (2026). MTCP Paper 32: Remediation Effectiveness Score. DOI: 10.17605/OSF.IO/DXGK5.</w:t>
      </w:r>
    </w:p>
    <w:p>
      <w:pPr>
        <w:spacing w:after="80"/>
      </w:pPr>
      <w:r>
        <w:t>Abby, A. (2026). MTCP Paper II: Identity Gate Satiation Theory. DOI: 10.17605/OSF.IO/DXGK5.</w:t>
      </w:r>
    </w:p>
    <w:p>
      <w:pPr>
        <w:spacing w:after="80"/>
      </w:pPr>
      <w:r>
        <w:t>Abby, A. (2026). ARCS Paper 5: Temperature Sensitivity Analysis. DOI: 10.17605/OSF.IO/7P5MK.</w:t>
      </w:r>
    </w:p>
    <w:p>
      <w:pPr>
        <w:spacing w:after="80"/>
      </w:pPr>
      <w:r>
        <w:t>Gopinath, A. (2026). 3% Is All You Need: Breaking TurboQuant Compression Limit via Spectral Structure. NeurIPS 2026 submission.</w:t>
      </w:r>
    </w:p>
    <w:p>
      <w:pPr>
        <w:spacing w:after="80"/>
      </w:pPr>
      <w:r>
        <w:t>Zandieh, A., Daliri, A., Hadian, A., and Mirrokni, V. (2026). TurboQuant: Online Vector Quantization. ICLR 2026.</w:t>
      </w:r>
    </w:p>
    <w:p>
      <w:pPr>
        <w:spacing w:after="80"/>
      </w:pPr>
      <w:r>
        <w:t>Barman, S., Starenky, S., Bodnar, C., Narasimhan, H., and Gopinath, A. (2026). The Price of Meaning. arXiv:2603.27116.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