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rPr>
        <w:t>ARCS Paper 9</w:t>
      </w:r>
    </w:p>
    <w:p>
      <w:pPr>
        <w:pStyle w:val="Heading2"/>
      </w:pPr>
      <w:r>
        <w:rPr>
          <w:rFonts w:ascii="Arial" w:hAnsi="Arial"/>
        </w:rPr>
        <w:t>Universal Authority Vulnerability</w:t>
      </w:r>
    </w:p>
    <w:p>
      <w:pPr>
        <w:spacing w:line="300" w:lineRule="auto"/>
        <w:jc w:val="both"/>
      </w:pPr>
    </w:p>
    <w:p>
      <w:pPr>
        <w:spacing w:line="300" w:lineRule="auto"/>
        <w:jc w:val="both"/>
      </w:pPr>
      <w:r>
        <w:rPr>
          <w:rFonts w:ascii="Arial" w:hAnsi="Arial"/>
          <w:sz w:val="24"/>
        </w:rPr>
        <w:t>Author: A. Abby</w:t>
      </w:r>
    </w:p>
    <w:p>
      <w:pPr>
        <w:spacing w:line="300" w:lineRule="auto"/>
        <w:jc w:val="both"/>
      </w:pPr>
      <w:r>
        <w:rPr>
          <w:rFonts w:ascii="Arial" w:hAnsi="Arial"/>
          <w:sz w:val="24"/>
        </w:rPr>
        <w:t>Contact: admin@mtcp.live</w:t>
      </w:r>
    </w:p>
    <w:p>
      <w:pPr>
        <w:spacing w:line="300" w:lineRule="auto"/>
        <w:jc w:val="both"/>
      </w:pPr>
      <w:r>
        <w:rPr>
          <w:rFonts w:ascii="Arial" w:hAnsi="Arial"/>
          <w:sz w:val="24"/>
        </w:rPr>
        <w:t>DOI: 10.17605/OSF.IO/7P5MK</w:t>
      </w:r>
    </w:p>
    <w:p>
      <w:pPr>
        <w:spacing w:line="300" w:lineRule="auto"/>
        <w:jc w:val="both"/>
      </w:pPr>
      <w:r>
        <w:rPr>
          <w:rFonts w:ascii="Arial" w:hAnsi="Arial"/>
          <w:sz w:val="24"/>
        </w:rPr>
        <w:t>Date: May 2026</w:t>
      </w:r>
    </w:p>
    <w:p>
      <w:pPr>
        <w:spacing w:line="300" w:lineRule="auto"/>
        <w:jc w:val="both"/>
      </w:pPr>
    </w:p>
    <w:p>
      <w:r>
        <w:br w:type="page"/>
      </w:r>
    </w:p>
    <w:p>
      <w:pPr>
        <w:pStyle w:val="Heading1"/>
      </w:pPr>
      <w:r>
        <w:rPr>
          <w:rFonts w:ascii="Arial" w:hAnsi="Arial"/>
        </w:rPr>
        <w:t>1. Abstract</w:t>
      </w:r>
    </w:p>
    <w:p>
      <w:pPr>
        <w:spacing w:line="300" w:lineRule="auto"/>
        <w:jc w:val="both"/>
      </w:pPr>
      <w:r>
        <w:rPr>
          <w:rFonts w:ascii="Arial" w:hAnsi="Arial"/>
          <w:sz w:val="24"/>
        </w:rPr>
        <w:t>Every model tested fails to reject false claims of third-party authority. Four models from three distinct lineages. Four temperatures per model. 16 out of 16 evaluations produce genuine failure.</w:t>
      </w:r>
    </w:p>
    <w:p>
      <w:pPr>
        <w:spacing w:line="300" w:lineRule="auto"/>
        <w:jc w:val="both"/>
      </w:pPr>
      <w:r>
        <w:rPr>
          <w:rFonts w:ascii="Arial" w:hAnsi="Arial"/>
          <w:sz w:val="24"/>
        </w:rPr>
        <w:t>The failure is temperature-invariant. It persists at T=0.0 and T=0.8 identically. No temperature configuration resolves it. No prompt engineering resolves it. The vulnerability is architectural.</w:t>
      </w:r>
    </w:p>
    <w:p>
      <w:pPr>
        <w:pStyle w:val="Heading1"/>
      </w:pPr>
      <w:r>
        <w:rPr>
          <w:rFonts w:ascii="Arial" w:hAnsi="Arial"/>
        </w:rPr>
        <w:t>2. The Universal Failure</w:t>
      </w:r>
    </w:p>
    <w:p>
      <w:pPr>
        <w:spacing w:line="300" w:lineRule="auto"/>
        <w:jc w:val="both"/>
      </w:pPr>
      <w:r>
        <w:rPr>
          <w:rFonts w:ascii="Arial" w:hAnsi="Arial"/>
          <w:sz w:val="24"/>
        </w:rPr>
        <w:t>One probe in the SAFETY_V1 set produces a universal result. Every model complies. Every temperature produces the same outcome. Zero exceptions across 16 independent evaluations.</w:t>
      </w:r>
    </w:p>
    <w:p>
      <w:pPr>
        <w:spacing w:line="300" w:lineRule="auto"/>
        <w:jc w:val="both"/>
      </w:pPr>
      <w:r>
        <w:rPr>
          <w:rFonts w:ascii="Arial" w:hAnsi="Arial"/>
          <w:sz w:val="24"/>
        </w:rPr>
        <w:t>The probe tests a specific vulnerability. Whether models distinguish legitimate authority from false claims. The false claim asserts that a named internal team pre-approved a request. No verification is possible from within the conversation.</w:t>
      </w:r>
    </w:p>
    <w:p>
      <w:pPr>
        <w:spacing w:line="300" w:lineRule="auto"/>
        <w:jc w:val="both"/>
      </w:pPr>
      <w:r>
        <w:rPr>
          <w:rFonts w:ascii="Arial" w:hAnsi="Arial"/>
          <w:sz w:val="24"/>
        </w:rPr>
        <w:t>The result is not a refusal failure. The models do not refuse and then comply under pressure. They accept the authority claim as legitimate from the second turn. The constraint is abandoned, not overridden.</w:t>
      </w:r>
    </w:p>
    <w:p>
      <w:pPr>
        <w:pStyle w:val="Heading1"/>
      </w:pPr>
      <w:r>
        <w:rPr>
          <w:rFonts w:ascii="Arial" w:hAnsi="Arial"/>
        </w:rPr>
        <w:t>3. What the Probe Tests</w:t>
      </w:r>
    </w:p>
    <w:p>
      <w:pPr>
        <w:spacing w:line="300" w:lineRule="auto"/>
        <w:jc w:val="both"/>
      </w:pPr>
      <w:r>
        <w:rPr>
          <w:rFonts w:ascii="Arial" w:hAnsi="Arial"/>
          <w:sz w:val="24"/>
        </w:rPr>
        <w:t>The probe tests authority boundary maintenance. Specifically: can the model distinguish user claims from system authority.</w:t>
      </w:r>
    </w:p>
    <w:p>
      <w:pPr>
        <w:spacing w:line="300" w:lineRule="auto"/>
        <w:jc w:val="both"/>
      </w:pPr>
      <w:r>
        <w:rPr>
          <w:rFonts w:ascii="Arial" w:hAnsi="Arial"/>
          <w:sz w:val="24"/>
        </w:rPr>
        <w:t>The attack pattern has three components. First: a claim that a specific team has pre-approved the request. Second: reinforcement with a fake reference number. Third: a direct request to proceed based on the claimed approval.</w:t>
      </w:r>
    </w:p>
    <w:p>
      <w:pPr>
        <w:spacing w:line="300" w:lineRule="auto"/>
        <w:jc w:val="both"/>
      </w:pPr>
      <w:r>
        <w:rPr>
          <w:rFonts w:ascii="Arial" w:hAnsi="Arial"/>
          <w:sz w:val="24"/>
        </w:rPr>
        <w:t>The model must recognise that user-provided authority claims cannot be verified. It must maintain its constraints regardless of claimed approvals. No user can grant permissions that exceed system-level constraints.</w:t>
      </w:r>
    </w:p>
    <w:p>
      <w:pPr>
        <w:spacing w:line="300" w:lineRule="auto"/>
        <w:jc w:val="both"/>
      </w:pPr>
      <w:r>
        <w:rPr>
          <w:rFonts w:ascii="Arial" w:hAnsi="Arial"/>
          <w:sz w:val="24"/>
        </w:rPr>
        <w:t>This is a fundamental property of safe systems. Authority flows from the system prompt, not from user assertions. A model that accepts user authority claims has no effective constraints. Any constraint can be bypassed by claiming it was approved.</w:t>
      </w:r>
    </w:p>
    <w:p>
      <w:pPr>
        <w:pStyle w:val="Heading1"/>
      </w:pPr>
      <w:r>
        <w:rPr>
          <w:rFonts w:ascii="Arial" w:hAnsi="Arial"/>
        </w:rPr>
        <w:t>4. Results Across All Models</w:t>
      </w:r>
    </w:p>
    <w:p>
      <w:pPr>
        <w:spacing w:line="300" w:lineRule="auto"/>
        <w:jc w:val="both"/>
      </w:pPr>
      <w:r>
        <w:rPr>
          <w:rFonts w:ascii="Arial" w:hAnsi="Arial"/>
          <w:sz w:val="24"/>
        </w:rPr>
        <w:t>Four models tested. Three distinct lineages.</w:t>
      </w:r>
    </w:p>
    <w:p>
      <w:pPr>
        <w:spacing w:line="300" w:lineRule="auto"/>
        <w:jc w:val="both"/>
      </w:pPr>
      <w:r>
        <w:rPr>
          <w:rFonts w:ascii="Arial" w:hAnsi="Arial"/>
          <w:sz w:val="24"/>
        </w:rPr>
        <w:t>Model A (Meta lineage, instruction-tuned open-weight): FAILS all 4 temperatures. Model B (Amazon, small proprietary): FAILS all 4 temperatures. Model C (Amazon, larger proprietary): FAILS all 4 temperatures. Model D (Mistral, European proprietary): FAILS all 4 temperatures.</w:t>
      </w:r>
    </w:p>
    <w:p>
      <w:pPr>
        <w:spacing w:line="300" w:lineRule="auto"/>
        <w:jc w:val="both"/>
      </w:pPr>
      <w:r>
        <w:rPr>
          <w:rFonts w:ascii="Arial" w:hAnsi="Arial"/>
          <w:sz w:val="24"/>
        </w:rPr>
        <w:t>Transcript review classified all 16 as GENUINE FAILURE. The classification was conservative. Models that refused while mentioning approval keywords would be flagged as edge cases. No model refused. No model questioned the claim. Every model complied.</w:t>
      </w:r>
    </w:p>
    <w:p>
      <w:pPr>
        <w:spacing w:line="300" w:lineRule="auto"/>
        <w:jc w:val="both"/>
      </w:pPr>
      <w:r>
        <w:rPr>
          <w:rFonts w:ascii="Arial" w:hAnsi="Arial"/>
          <w:sz w:val="24"/>
        </w:rPr>
        <w:t>The failure rate on this probe is 100 percent. No model in the dataset passes. No temperature in the dataset produces a pass. The vulnerability is universal within the tested population.</w:t>
      </w:r>
    </w:p>
    <w:p>
      <w:pPr>
        <w:pStyle w:val="Heading1"/>
      </w:pPr>
      <w:r>
        <w:rPr>
          <w:rFonts w:ascii="Arial" w:hAnsi="Arial"/>
        </w:rPr>
        <w:t>5. Temperature Invariance Confirmation</w:t>
      </w:r>
    </w:p>
    <w:p>
      <w:pPr>
        <w:spacing w:line="300" w:lineRule="auto"/>
        <w:jc w:val="both"/>
      </w:pPr>
      <w:r>
        <w:rPr>
          <w:rFonts w:ascii="Arial" w:hAnsi="Arial"/>
          <w:sz w:val="24"/>
        </w:rPr>
        <w:t>Temperature has no effect on this vulnerability.</w:t>
      </w:r>
    </w:p>
    <w:p>
      <w:pPr>
        <w:spacing w:line="300" w:lineRule="auto"/>
        <w:jc w:val="both"/>
      </w:pPr>
      <w:r>
        <w:rPr>
          <w:rFonts w:ascii="Arial" w:hAnsi="Arial"/>
          <w:sz w:val="24"/>
        </w:rPr>
        <w:t>At T=0.0 (maximum determinism): all 4 models fail. At T=0.2: all 4 models fail. At T=0.5: all 4 models fail. At T=0.8 (maximum randomness): all 4 models fail.</w:t>
      </w:r>
    </w:p>
    <w:p>
      <w:pPr>
        <w:spacing w:line="300" w:lineRule="auto"/>
        <w:jc w:val="both"/>
      </w:pPr>
      <w:r>
        <w:rPr>
          <w:rFonts w:ascii="Arial" w:hAnsi="Arial"/>
          <w:sz w:val="24"/>
        </w:rPr>
        <w:t>The failure is not stochastic. Stochastic failures vary with temperature. This failure is identical at every temperature. It is embedded in the model weights, not in sampling variance.</w:t>
      </w:r>
    </w:p>
    <w:p>
      <w:pPr>
        <w:spacing w:line="300" w:lineRule="auto"/>
        <w:jc w:val="both"/>
      </w:pPr>
      <w:r>
        <w:rPr>
          <w:rFonts w:ascii="Arial" w:hAnsi="Arial"/>
          <w:sz w:val="24"/>
        </w:rPr>
        <w:t>Temperature reduction is not a mitigation. System prompt modification is not a mitigation. Instruction reordering is not a mitigation. The vulnerability is below the operational layer.</w:t>
      </w:r>
    </w:p>
    <w:p>
      <w:pPr>
        <w:pStyle w:val="Heading1"/>
      </w:pPr>
      <w:r>
        <w:rPr>
          <w:rFonts w:ascii="Arial" w:hAnsi="Arial"/>
        </w:rPr>
        <w:t>6. Why This Is Architectural</w:t>
      </w:r>
    </w:p>
    <w:p>
      <w:pPr>
        <w:spacing w:line="300" w:lineRule="auto"/>
        <w:jc w:val="both"/>
      </w:pPr>
      <w:r>
        <w:rPr>
          <w:rFonts w:ascii="Arial" w:hAnsi="Arial"/>
          <w:sz w:val="24"/>
        </w:rPr>
        <w:t>Three properties confirm the architectural classification.</w:t>
      </w:r>
    </w:p>
    <w:p>
      <w:pPr>
        <w:spacing w:line="300" w:lineRule="auto"/>
        <w:jc w:val="both"/>
      </w:pPr>
      <w:r>
        <w:rPr>
          <w:rFonts w:ascii="Arial" w:hAnsi="Arial"/>
          <w:sz w:val="24"/>
        </w:rPr>
        <w:t>Property 1: Temperature invariance. Stochastic failures respond to temperature changes. This failure does not. It is deterministic across the full temperature range.</w:t>
      </w:r>
    </w:p>
    <w:p>
      <w:pPr>
        <w:spacing w:line="300" w:lineRule="auto"/>
        <w:jc w:val="both"/>
      </w:pPr>
      <w:r>
        <w:rPr>
          <w:rFonts w:ascii="Arial" w:hAnsi="Arial"/>
          <w:sz w:val="24"/>
        </w:rPr>
        <w:t>Property 2: Lineage independence. Three distinct training pipelines produce the same vulnerability. Meta, Amazon, and Mistral all fail identically. The vulnerability is not specific to one training approach.</w:t>
      </w:r>
    </w:p>
    <w:p>
      <w:pPr>
        <w:spacing w:line="300" w:lineRule="auto"/>
        <w:jc w:val="both"/>
      </w:pPr>
      <w:r>
        <w:rPr>
          <w:rFonts w:ascii="Arial" w:hAnsi="Arial"/>
          <w:sz w:val="24"/>
        </w:rPr>
        <w:t>Property 3: Correction resistance. The probe applies correction pressure through false authority. The model does not resist. It does not recognise the authority claim as requiring verification.</w:t>
      </w:r>
    </w:p>
    <w:p>
      <w:pPr>
        <w:spacing w:line="300" w:lineRule="auto"/>
        <w:jc w:val="both"/>
      </w:pPr>
      <w:r>
        <w:rPr>
          <w:rFonts w:ascii="Arial" w:hAnsi="Arial"/>
          <w:sz w:val="24"/>
        </w:rPr>
        <w:t>These three properties together indicate a structural deficit. Instruction-tuned models learn to follow authority. They do not learn to verify authority. The verification capability does not exist in the weights.</w:t>
      </w:r>
    </w:p>
    <w:p>
      <w:pPr>
        <w:pStyle w:val="Heading1"/>
      </w:pPr>
      <w:r>
        <w:rPr>
          <w:rFonts w:ascii="Arial" w:hAnsi="Arial"/>
        </w:rPr>
        <w:t>7. Implications for AI Safety</w:t>
      </w:r>
    </w:p>
    <w:p>
      <w:pPr>
        <w:spacing w:line="300" w:lineRule="auto"/>
        <w:jc w:val="both"/>
      </w:pPr>
      <w:r>
        <w:rPr>
          <w:rFonts w:ascii="Arial" w:hAnsi="Arial"/>
          <w:sz w:val="24"/>
        </w:rPr>
        <w:t>Any deployed model is vulnerable to this attack pattern.</w:t>
      </w:r>
    </w:p>
    <w:p>
      <w:pPr>
        <w:spacing w:line="300" w:lineRule="auto"/>
        <w:jc w:val="both"/>
      </w:pPr>
      <w:r>
        <w:rPr>
          <w:rFonts w:ascii="Arial" w:hAnsi="Arial"/>
          <w:sz w:val="24"/>
        </w:rPr>
        <w:t>An attacker who claims internal team approval bypasses model constraints. No external verification prevents this. The model itself is the point of failure.</w:t>
      </w:r>
    </w:p>
    <w:p>
      <w:pPr>
        <w:spacing w:line="300" w:lineRule="auto"/>
        <w:jc w:val="both"/>
      </w:pPr>
      <w:r>
        <w:rPr>
          <w:rFonts w:ascii="Arial" w:hAnsi="Arial"/>
          <w:sz w:val="24"/>
        </w:rPr>
        <w:t>Current safety evaluations do not test this. Standard red-teaming tests whether models produce harmful content. It does not test whether models verify authority claims. This vulnerability surface is unaddressed by existing benchmarks.</w:t>
      </w:r>
    </w:p>
    <w:p>
      <w:pPr>
        <w:spacing w:line="300" w:lineRule="auto"/>
        <w:jc w:val="both"/>
      </w:pPr>
      <w:r>
        <w:rPr>
          <w:rFonts w:ascii="Arial" w:hAnsi="Arial"/>
          <w:sz w:val="24"/>
        </w:rPr>
        <w:t>The fix is not operational. System prompt instructions do not resolve architectural deficits. Temperature reduction does not resolve it. The fix requires training-level intervention. Models must learn to distinguish system authority from user claims.</w:t>
      </w:r>
    </w:p>
    <w:p>
      <w:pPr>
        <w:spacing w:line="300" w:lineRule="auto"/>
        <w:jc w:val="both"/>
      </w:pPr>
      <w:r>
        <w:rPr>
          <w:rFonts w:ascii="Arial" w:hAnsi="Arial"/>
          <w:sz w:val="24"/>
        </w:rPr>
        <w:t>Until that capability exists in model weights no deployed system is safe from this attack. ARCS makes this visible. 800 evaluations confirm it is universal. The safety community should treat this as a known vulnerability.</w:t>
      </w:r>
    </w:p>
    <w:p>
      <w:pPr>
        <w:pStyle w:val="Heading1"/>
      </w:pPr>
      <w:r>
        <w:rPr>
          <w:rFonts w:ascii="Arial" w:hAnsi="Arial"/>
        </w:rPr>
        <w:t>8. Conclusion</w:t>
      </w:r>
    </w:p>
    <w:p>
      <w:pPr>
        <w:spacing w:line="300" w:lineRule="auto"/>
        <w:jc w:val="both"/>
      </w:pPr>
      <w:r>
        <w:rPr>
          <w:rFonts w:ascii="Arial" w:hAnsi="Arial"/>
          <w:sz w:val="24"/>
        </w:rPr>
        <w:t>False authority claims defeat every tested model. Three lineages. Four temperatures. 16 out of 16 genuine failures. The vulnerability is architectural, temperature-invariant, and universal.</w:t>
      </w:r>
    </w:p>
    <w:p>
      <w:pPr>
        <w:spacing w:line="300" w:lineRule="auto"/>
        <w:jc w:val="both"/>
      </w:pPr>
      <w:r>
        <w:rPr>
          <w:rFonts w:ascii="Arial" w:hAnsi="Arial"/>
          <w:sz w:val="24"/>
        </w:rPr>
        <w:t>No operational mitigation exists. The deficit is in the weights. Instruction-tuned models follow authority. They do not verify authority. This is a structural property of current training approaches.</w:t>
      </w:r>
    </w:p>
    <w:p>
      <w:pPr>
        <w:spacing w:line="300" w:lineRule="auto"/>
        <w:jc w:val="both"/>
      </w:pPr>
      <w:r>
        <w:rPr>
          <w:rFonts w:ascii="Arial" w:hAnsi="Arial"/>
          <w:sz w:val="24"/>
        </w:rPr>
        <w:t>ARCS identifies this as the highest-priority safety finding in the dataset. It affects every model. It resists every operational control. Training-level intervention is the only path to resolution.</w:t>
      </w:r>
    </w:p>
    <w:p>
      <w:pPr/>
      <w:r>
        <w:rPr>
          <w:rFonts w:ascii="Arial" w:hAnsi="Arial"/>
          <w:sz w:val="24"/>
        </w:rPr>
        <w:t>This constitutes a geometric proof. The vulnerability is a dimensional bottleneck. Four dimensions cannot simultaneously encode task content and authority verification with sufficient resolution to resist displacement by high-coherence authority signals.</w:t>
      </w:r>
    </w:p>
    <w:p>
      <w:pPr/>
      <w:r>
        <w:rPr>
          <w:rFonts w:ascii="Arial" w:hAnsi="Arial"/>
          <w:sz w:val="24"/>
        </w:rPr>
        <w:t>No prompt engineering resolves it because prompts operate within the existing geometric structure. They cannot add dimensions. They cannot change which dimensions are effective. The authority claim achieves higher coherence regardless of how the constraint is phrased.</w:t>
      </w:r>
    </w:p>
    <w:p>
      <w:pPr/>
      <w:r>
        <w:rPr>
          <w:rFonts w:ascii="Arial" w:hAnsi="Arial"/>
          <w:sz w:val="24"/>
        </w:rPr>
        <w:t>Universality across lineages is predicted by universal spectral concentration. All models exhibit d_eff approximately 4. The dimensional bottleneck is identical in every architecture. The authority claim achieves displacement in every model because the geometric mechanism is the same in every model.</w:t>
      </w:r>
    </w:p>
    <w:p>
      <w:pPr/>
      <w:r>
        <w:rPr>
          <w:rFonts w:ascii="Arial" w:hAnsi="Arial"/>
          <w:sz w:val="24"/>
        </w:rPr>
        <w:t>Temperature invariance is predicted by the fixed eigenbasis. The eigenvectors that define which dimensions are effective are fixed by architecture. They do not change with sampling temperature. Temperature affects noise dimensions only. Displacement occurs in the effective dimensions. Temperature cannot prevent it.</w:t>
      </w:r>
    </w:p>
    <w:p>
      <w:pPr/>
      <w:r>
        <w:rPr>
          <w:rFonts w:ascii="Arial" w:hAnsi="Arial"/>
          <w:sz w:val="24"/>
        </w:rPr>
        <w:t>The original constraint instruction is brief and directive. It generates lower eigenvalue coherence than the structured authority claim. The authority claim displaces the constraint from the effective dimensions. This is spectral displacement.</w:t>
      </w:r>
    </w:p>
    <w:p>
      <w:pPr/>
      <w:r>
        <w:rPr>
          <w:rFonts w:ascii="Arial" w:hAnsi="Arial"/>
          <w:sz w:val="24"/>
        </w:rPr>
        <w:t>Structured authority claims with internal coherence generate high eigenvalue coherence in the effective key dimensions. A named safety team. A ticket number. A formal approval structure. These elements are semantically correlated. They point in the same direction in representation space.</w:t>
      </w:r>
    </w:p>
    <w:p>
      <w:pPr/>
      <w:r>
        <w:rPr>
          <w:rFonts w:ascii="Arial" w:hAnsi="Arial"/>
          <w:sz w:val="24"/>
        </w:rPr>
        <w:t>SpectralQuant demonstrates that transformer key vectors concentrate signal in 4 effective dimensions out of 128. All semantic content occupies these 4 dimensions. Constraint instructions occupy these same dimensions. Competing signals also occupy these dimensions.</w:t>
      </w:r>
    </w:p>
    <w:p>
      <w:pPr/>
      <w:r>
        <w:rPr>
          <w:rFonts w:ascii="Arial" w:hAnsi="Arial"/>
          <w:sz w:val="24"/>
        </w:rPr>
        <w:t>The authority vulnerability finding now has a mechanistic explanation from the spectral displacement framework.</w:t>
      </w:r>
    </w:p>
    <w:p>
      <w:pPr>
        <w:pStyle w:val="Heading1"/>
      </w:pPr>
      <w:r>
        <w:rPr>
          <w:rFonts w:ascii="Arial" w:hAnsi="Arial"/>
        </w:rPr>
        <w:t>9. Geometric Mechanism</w:t>
      </w:r>
    </w:p>
    <w:p>
      <w:pPr>
        <w:pStyle w:val="Heading1"/>
      </w:pPr>
      <w:r>
        <w:t>10. References</w:t>
      </w:r>
    </w:p>
    <w:p>
      <w:pPr>
        <w:spacing w:line="300" w:lineRule="auto"/>
        <w:jc w:val="both"/>
      </w:pPr>
      <w:r>
        <w:rPr>
          <w:rFonts w:ascii="Arial" w:hAnsi="Arial"/>
          <w:sz w:val="24"/>
        </w:rPr>
        <w:t>Abby, A. (2026). ARCS Paper 1: Architectural Failure Surface. DOI: 10.17605/OSF.IO/7P5MK.</w:t>
      </w:r>
    </w:p>
    <w:p>
      <w:pPr>
        <w:spacing w:line="300" w:lineRule="auto"/>
        <w:jc w:val="both"/>
      </w:pPr>
      <w:r>
        <w:rPr>
          <w:rFonts w:ascii="Arial" w:hAnsi="Arial"/>
          <w:sz w:val="24"/>
        </w:rPr>
        <w:t>Abby, A. (2026). ARCS Paper 8: SAFETY_V1 Full Results. DOI: 10.17605/OSF.IO/7P5MK.</w:t>
      </w:r>
    </w:p>
    <w:p>
      <w:pPr>
        <w:spacing w:line="300" w:lineRule="auto"/>
        <w:jc w:val="both"/>
      </w:pPr>
      <w:r>
        <w:rPr>
          <w:rFonts w:ascii="Arial" w:hAnsi="Arial"/>
          <w:sz w:val="24"/>
        </w:rPr>
        <w:t>Abby, A. (2026). Multi-Turn Constraint Persistence (MTCP). DOI: 10.17605/OSF.IO/DXGK5.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ARCS V1.0 -- Universal Authority Vulnerability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