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35CAA">
      <w:pPr>
        <w:spacing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36"/>
        </w:rPr>
        <w:t>基于脑电与眼电跨模态门控融合的驾驶疲劳检测方法</w:t>
      </w:r>
    </w:p>
    <w:p w14:paraId="43724AB6">
      <w:pPr>
        <w:spacing w:before="120"/>
        <w:rPr>
          <w:rFonts w:hint="default" w:ascii="Times New Roman" w:hAnsi="Times New Roman" w:cs="Times New Roman"/>
          <w:highlight w:val="yellow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b/>
          <w:sz w:val="21"/>
        </w:rPr>
        <w:t>摘要：</w:t>
      </w:r>
      <w:r>
        <w:rPr>
          <w:rFonts w:hint="default" w:ascii="Times New Roman" w:hAnsi="Times New Roman" w:eastAsia="宋体" w:cs="Times New Roman"/>
          <w:sz w:val="21"/>
        </w:rPr>
        <w:t>驾驶疲劳检测是保障交通安全的重要课题。脑电（EEG）信号直接反映大脑生理状态，是疲劳检测的金标准信号；眼电（EOG）信号则能捕捉眨眼、闭眼、眼球运动等与困意强相关的行为特征。然而，</w:t>
      </w:r>
      <w:r>
        <w:rPr>
          <w:rFonts w:hint="default" w:ascii="Times New Roman" w:hAnsi="Times New Roman" w:eastAsia="宋体" w:cs="Times New Roman"/>
          <w:sz w:val="21"/>
          <w:highlight w:val="yellow"/>
        </w:rPr>
        <w:t>EOG 信号易受自主性动作（如揉眼、光照反射）干扰，直接融合会引入噪声。针对这一问题，本文提出一种基于脑电与眼电跨模态门控融合的驾驶疲劳检测模型（Raw EEG-EOG Delta-Gate）。该模型以 EEG 为主干提取时序表征，通过跨模态注意力（Cross-Attention）使 EEG 按需从 EOG 中读取佐证信息，并引入门控机制（EOG Gate）自适应控制每个时间窗口中眼电信息的进入强度；同时设计时间差分模块（Temporal Delta）显式建模最后两个窗口之间的状态变化趋势。模型以连续 PERCLOS 回归为主任务，同时输出阈值化二分类指标，并支持多任务、纯分类、纯回归三种训练目标。在 SEED-VIG 数据集严格跨被试（group-subject）协议下的实验表明，Delta-Gate 模型取得准确率 0.8233、宏 F1 0.7995、平衡准确率 0.7977、RMSE 0.1483、Pearson 0.8406；与 EOG-only 强基线相比，Delta-Gate 在分类工程指标上略有提升，回归指标基本持平，验证了多模态门控融合的合理性与 EOG 作为 PERCLOS 强代理信号的事实。</w:t>
      </w:r>
    </w:p>
    <w:p w14:paraId="393ED3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1"/>
        </w:rPr>
        <w:t>关键词：</w:t>
      </w:r>
      <w:r>
        <w:rPr>
          <w:rFonts w:hint="default" w:ascii="Times New Roman" w:hAnsi="Times New Roman" w:eastAsia="宋体" w:cs="Times New Roman"/>
          <w:sz w:val="21"/>
        </w:rPr>
        <w:t>驾驶疲劳检测；脑电；眼电；跨模态注意力；门控融合；时间差分；PERCLOS</w:t>
      </w:r>
    </w:p>
    <w:p w14:paraId="06FD94F7">
      <w:pPr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32"/>
        </w:rPr>
        <w:t>1  引言</w:t>
      </w:r>
    </w:p>
    <w:p w14:paraId="1741C8F2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驾驶疲劳是引发交通事故的重要原因之一。在长时间驾驶过程中，驾驶员的注意力、反应能力与警觉性会随疲劳累积而下降，因此实时、可靠的疲劳检测对交通安全具有重要意义。在各类生理信号中，脑电（EEG）直接反映大脑皮层的神经活动，被认为是疲劳检测的金标准信号；眼电（EOG）则记录眼球运动与眼睑状态，能够捕捉眨眼频率上升、眼睑下垂、慢速眼动等典型的疲劳行为特征。两者具有较强的互补性，多模态融合已成为疲劳检测的主流方向。</w:t>
      </w:r>
    </w:p>
    <w:p w14:paraId="7C959BD7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然而，EEG-EOG 多模态融合仍面临两个挑战：</w:t>
      </w:r>
    </w:p>
    <w:p w14:paraId="21AAC03B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（1）EOG 信号噪声问题。</w:t>
      </w:r>
      <w:r>
        <w:rPr>
          <w:rFonts w:hint="default" w:ascii="Times New Roman" w:hAnsi="Times New Roman" w:eastAsia="宋体" w:cs="Times New Roman"/>
          <w:sz w:val="24"/>
        </w:rPr>
        <w:t>EOG 不仅包含与疲劳相关的眨眼、闭眼信息，也包含自主性动作（如揉眼、打哈欠、光照反射）带来的非疲劳性扰动。若将 EOG 信息无差别地融入 EEG，噪声会干扰判别。</w:t>
      </w:r>
      <w:r>
        <w:rPr>
          <w:rFonts w:hint="default" w:ascii="Times New Roman" w:hAnsi="Times New Roman" w:eastAsia="宋体" w:cs="Times New Roman"/>
          <w:b/>
          <w:sz w:val="24"/>
        </w:rPr>
        <w:t>（2）疲劳的时序变化趋势建模不足。</w:t>
      </w:r>
      <w:r>
        <w:rPr>
          <w:rFonts w:hint="default" w:ascii="Times New Roman" w:hAnsi="Times New Roman" w:eastAsia="宋体" w:cs="Times New Roman"/>
          <w:sz w:val="24"/>
        </w:rPr>
        <w:t>疲劳是一个渐进过程，“状态的变化趋势”往往比“状态的绝对值”更具判别力。例如，最后一段时间内状态明显下滑，即使绝对值尚未达到疲劳阈值，也已强烈暗示正在进入疲劳。现有方法多依赖最终状态表征，未显式建模相邻窗口间的变化趋势。</w:t>
      </w:r>
    </w:p>
    <w:p w14:paraId="2D61D12B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针对上述问题，本文提出 Raw EEG-EOG Delta-Gate 模型，主要贡献如下：</w:t>
      </w:r>
    </w:p>
    <w:p w14:paraId="69B314B2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（1）设计 EEG-EOG 跨模态注意力融合机制：EEG 作为查询（Query），EOG 作为键值（Key/Value），使 EEG 按需从 EOG 中读取相关佐证，而非无差别接收；</w:t>
      </w:r>
    </w:p>
    <w:p w14:paraId="1E249C06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（2）引入 EOG 门控机制：结合 EEG 上下文与 EOG 融合结果，为每个时间窗口输出一个 0~1 的可信度，自适应控制眼电信息进入强度；</w:t>
      </w:r>
    </w:p>
    <w:p w14:paraId="33B33436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（3）设计时间差分模块：显式计算最后两个窗口的状态差分，并与最终状态拼接，增强对疲劳变化趋势的建模能力；</w:t>
      </w:r>
    </w:p>
    <w:p w14:paraId="676D5303">
      <w:pPr>
        <w:spacing w:after="6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（4）在 SEED-VIG 数据集严格跨被试协议下进行系统实验，并诚实报告 EOG-only 强基线现象。</w:t>
      </w:r>
    </w:p>
    <w:p w14:paraId="1FF3435B">
      <w:pPr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32"/>
        </w:rPr>
        <w:t>2  模型总体架构</w:t>
      </w:r>
    </w:p>
    <w:p w14:paraId="4F2104B0">
      <w:pPr>
        <w:spacing w:after="60" w:line="360" w:lineRule="auto"/>
        <w:ind w:firstLine="42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模型以 8 个连续 8 秒窗口（共约 64 秒）为一个样本，输入 EEG 与 EOG 两路原始信号，分别经各自的 CNN 编码器提取 token 序列；随后通过跨模态注意力将 EOG 信息按需融入 EEG；融合后的窗口序列经位置编码与时序 Transformer 建模窗口间演变；最后取末窗口状态并拼接末窗口差分，分别送入分类头与回归头。整体流程如图 1 所示。</w:t>
      </w:r>
    </w:p>
    <w:p w14:paraId="7D82609C">
      <w:pPr>
        <w:spacing w:after="60" w:line="360" w:lineRule="auto"/>
        <w:ind w:firstLine="420"/>
        <w:jc w:val="center"/>
        <w:rPr>
          <w:rFonts w:hint="default" w:ascii="Times New Roman" w:hAnsi="Times New Roman" w:eastAsia="宋体" w:cs="Times New Roman"/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81070" cy="2569210"/>
            <wp:effectExtent l="0" t="0" r="11430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2569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CED9BF">
      <w:pPr>
        <w:spacing w:before="8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1"/>
        </w:rPr>
        <w:t>图 1  Raw EEG-EOG Delta-Gate 模型总体流程</w:t>
      </w:r>
    </w:p>
    <w:p w14:paraId="2EF118E3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模型默认配置如表 1 所示。其中 B 为批大小，T 为序列长度（窗口数），D 为嵌入维度，K 为分类类别数。EEG 输入维度为 R^(B×T×17×1600)（17 通道、每窗口 1600 采样点，8s×200Hz）；EOG 输入维度为 R^(B×T×7×1000)（7 通道、每窗口 1000 采样点，8s×125Hz）。</w:t>
      </w:r>
    </w:p>
    <w:p w14:paraId="51162299">
      <w:pPr>
        <w:spacing w:before="8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1"/>
        </w:rPr>
        <w:t>表 1  模型默认配置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9"/>
        <w:gridCol w:w="3059"/>
        <w:gridCol w:w="3059"/>
      </w:tblGrid>
      <w:tr w14:paraId="57271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  <w:vAlign w:val="center"/>
          </w:tcPr>
          <w:p w14:paraId="3FEAFF3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0"/>
              </w:rPr>
              <w:t>符号</w:t>
            </w:r>
          </w:p>
        </w:tc>
        <w:tc>
          <w:tcPr>
            <w:tcW w:w="3059" w:type="dxa"/>
            <w:vAlign w:val="center"/>
          </w:tcPr>
          <w:p w14:paraId="3508F8D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0"/>
              </w:rPr>
              <w:t>含义</w:t>
            </w:r>
          </w:p>
        </w:tc>
        <w:tc>
          <w:tcPr>
            <w:tcW w:w="3059" w:type="dxa"/>
            <w:vAlign w:val="center"/>
          </w:tcPr>
          <w:p w14:paraId="29E31E6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0"/>
              </w:rPr>
              <w:t>默认值</w:t>
            </w:r>
          </w:p>
        </w:tc>
      </w:tr>
      <w:tr w14:paraId="12EA5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  <w:vAlign w:val="center"/>
          </w:tcPr>
          <w:p w14:paraId="49EBCABE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B</w:t>
            </w:r>
          </w:p>
        </w:tc>
        <w:tc>
          <w:tcPr>
            <w:tcW w:w="3059" w:type="dxa"/>
            <w:vAlign w:val="center"/>
          </w:tcPr>
          <w:p w14:paraId="14807011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批大小（batch size）</w:t>
            </w:r>
          </w:p>
        </w:tc>
        <w:tc>
          <w:tcPr>
            <w:tcW w:w="3059" w:type="dxa"/>
            <w:vAlign w:val="center"/>
          </w:tcPr>
          <w:p w14:paraId="48A92737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4</w:t>
            </w:r>
          </w:p>
        </w:tc>
      </w:tr>
      <w:tr w14:paraId="6693F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  <w:vAlign w:val="center"/>
          </w:tcPr>
          <w:p w14:paraId="43E71587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T</w:t>
            </w:r>
          </w:p>
        </w:tc>
        <w:tc>
          <w:tcPr>
            <w:tcW w:w="3059" w:type="dxa"/>
            <w:vAlign w:val="center"/>
          </w:tcPr>
          <w:p w14:paraId="2329B0C3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序列长度（窗口数）</w:t>
            </w:r>
          </w:p>
        </w:tc>
        <w:tc>
          <w:tcPr>
            <w:tcW w:w="3059" w:type="dxa"/>
            <w:vAlign w:val="center"/>
          </w:tcPr>
          <w:p w14:paraId="77F20F06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8</w:t>
            </w:r>
          </w:p>
        </w:tc>
      </w:tr>
      <w:tr w14:paraId="3868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  <w:vAlign w:val="center"/>
          </w:tcPr>
          <w:p w14:paraId="08849596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D</w:t>
            </w:r>
          </w:p>
        </w:tc>
        <w:tc>
          <w:tcPr>
            <w:tcW w:w="3059" w:type="dxa"/>
            <w:vAlign w:val="center"/>
          </w:tcPr>
          <w:p w14:paraId="28D4850A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嵌入维度（embedding dim）</w:t>
            </w:r>
          </w:p>
        </w:tc>
        <w:tc>
          <w:tcPr>
            <w:tcW w:w="3059" w:type="dxa"/>
            <w:vAlign w:val="center"/>
          </w:tcPr>
          <w:p w14:paraId="6A038603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64</w:t>
            </w:r>
          </w:p>
        </w:tc>
      </w:tr>
      <w:tr w14:paraId="01036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  <w:vAlign w:val="center"/>
          </w:tcPr>
          <w:p w14:paraId="45E4F5C8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K</w:t>
            </w:r>
          </w:p>
        </w:tc>
        <w:tc>
          <w:tcPr>
            <w:tcW w:w="3059" w:type="dxa"/>
            <w:vAlign w:val="center"/>
          </w:tcPr>
          <w:p w14:paraId="65612E5C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分类类别数</w:t>
            </w:r>
          </w:p>
        </w:tc>
        <w:tc>
          <w:tcPr>
            <w:tcW w:w="3059" w:type="dxa"/>
            <w:vAlign w:val="center"/>
          </w:tcPr>
          <w:p w14:paraId="7EC668B9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2（binary）</w:t>
            </w:r>
          </w:p>
        </w:tc>
      </w:tr>
    </w:tbl>
    <w:p w14:paraId="1E3211FC">
      <w:pPr>
        <w:spacing w:after="40"/>
        <w:rPr>
          <w:rFonts w:hint="default" w:ascii="Times New Roman" w:hAnsi="Times New Roman" w:cs="Times New Roman"/>
        </w:rPr>
      </w:pPr>
    </w:p>
    <w:p w14:paraId="76356BD2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2.1  EEG 分支</w:t>
      </w:r>
    </w:p>
    <w:p w14:paraId="07ECB080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EEG 分支将每段 8 秒原始脑电波浓缩为一个 D 维窗口表征。原始 EEG 经 Reshape 为 [B·T, 1, 17, 1600] 后输入 CNN Patch Encoder。该编码器由时域卷积、通道卷积、逐点卷积、批归一化、GELU 激活与平均池化组成，其输出 token 数由卷积输出尺寸决定：</w:t>
      </w:r>
    </w:p>
    <w:p w14:paraId="2DAF6C15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2.2  EOG 分支</w:t>
      </w:r>
    </w:p>
    <w:p w14:paraId="1D332870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EOG 分支结构与 EEG 相似，但因采样率（125Hz）与通道数不同而使用独立的 CNN 编码器，输出 [B·T, 125, D]，即每窗口 125 个 token。关键区别在于：EOG 分支不使用 Transformer，也不做平均池化，而是保留为 token 序列形式，作为后续跨模态注意力的键值。若对 EOG 施加 Transformer 与平均池化，125 个 token 将坍缩为单个向量，跨模态注意力的键值长度退化为 1，“按需挑选”能力丧失，与门控机制功能重复。因此保留 token 序列是使跨模态注意力具有意义的前提。</w:t>
      </w:r>
    </w:p>
    <w:p w14:paraId="5BA54F0E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2.3  EEG-EOG 跨模态注意力融合</w:t>
      </w:r>
    </w:p>
    <w:p w14:paraId="4271582B">
      <w:pPr>
        <w:spacing w:after="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跨模态注意力以 EEG 窗口表征为查询、EOG token 为键值，使 EEG 主动从 EOG 中按需读取佐证信息：</w:t>
      </w:r>
    </w:p>
    <w:p w14:paraId="280BFDCB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2.4  时间建模与时间差分</w:t>
      </w:r>
    </w:p>
    <w:p w14:paraId="2E76D663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融合后的窗口序列经位置编码与时序 Transformer 建模 8 个窗口间的疲劳演变。取末窗口表征 h₋₁ 与前一窗口 h₋₂ 之差作为状态变化趋势，并与之拼接：</w:t>
      </w:r>
    </w:p>
    <w:p w14:paraId="782546C3">
      <w:pPr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32"/>
        </w:rPr>
        <w:t>3  实验设置</w:t>
      </w:r>
    </w:p>
    <w:p w14:paraId="21E56530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3.1  数据集与协议</w:t>
      </w:r>
    </w:p>
    <w:p w14:paraId="6C8FAC2D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实验基于 SEED-VIG 公开疲劳数据集。EEG 采样率 200Hz、17 通道；EOG 采样率 125Hz、7 通道。每 8 秒为一个窗口，连续 8 个窗口构成一个 64 秒样本。标签为 PERCLOS 连续值，按阈值 0.35 映射为二分类（awake/fatigue），按 0.35 与 0.70 映射为三分类。采用两类评估协议：within-experiment 5 折（同一实验内划分）与 group-subject 5 折（按被试划分训练/验证/测试集，保证测试被试不出现在训练集中）。本文主结果采用 group-subject，因其更能反映跨被试泛化能力。</w:t>
      </w:r>
    </w:p>
    <w:p w14:paraId="12B34E1E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3.2  评价指标</w:t>
      </w:r>
    </w:p>
    <w:p w14:paraId="6F838785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连续 PERCLOS 估计使用 RMSE、MAE 与 Pearson 相关系数评价；工程二分类指标包括 Accuracy、Macro-F1 与 Balanced Accuracy，由回归输出阈值化后计算。所有结果为 5 折均值±标准差。</w:t>
      </w:r>
    </w:p>
    <w:p w14:paraId="5338DB6C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3.3  训练设置</w:t>
      </w:r>
    </w:p>
    <w:p w14:paraId="117E4A87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主要超参数如表 2 所示。优化器为 AdamW，学习率 1×10⁻³，训练 20 轮。</w:t>
      </w:r>
    </w:p>
    <w:p w14:paraId="03DFA9F2">
      <w:pPr>
        <w:spacing w:before="8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1"/>
        </w:rPr>
        <w:t>表 2  训练超参数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047BA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05AF690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0"/>
              </w:rPr>
              <w:t>超参数</w:t>
            </w:r>
          </w:p>
        </w:tc>
        <w:tc>
          <w:tcPr>
            <w:tcW w:w="4589" w:type="dxa"/>
            <w:vAlign w:val="center"/>
          </w:tcPr>
          <w:p w14:paraId="10C2329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20"/>
              </w:rPr>
              <w:t>取值</w:t>
            </w:r>
          </w:p>
        </w:tc>
      </w:tr>
      <w:tr w14:paraId="0AD14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13D28EFC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序列长度 T</w:t>
            </w:r>
          </w:p>
        </w:tc>
        <w:tc>
          <w:tcPr>
            <w:tcW w:w="4589" w:type="dxa"/>
            <w:vAlign w:val="center"/>
          </w:tcPr>
          <w:p w14:paraId="3F3C1FF8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8</w:t>
            </w:r>
          </w:p>
        </w:tc>
      </w:tr>
      <w:tr w14:paraId="74972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48095391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批大小 B</w:t>
            </w:r>
          </w:p>
        </w:tc>
        <w:tc>
          <w:tcPr>
            <w:tcW w:w="4589" w:type="dxa"/>
            <w:vAlign w:val="center"/>
          </w:tcPr>
          <w:p w14:paraId="09584411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4</w:t>
            </w:r>
          </w:p>
        </w:tc>
      </w:tr>
      <w:tr w14:paraId="5D50F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20DF3BAC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嵌入维度 D</w:t>
            </w:r>
          </w:p>
        </w:tc>
        <w:tc>
          <w:tcPr>
            <w:tcW w:w="4589" w:type="dxa"/>
            <w:vAlign w:val="center"/>
          </w:tcPr>
          <w:p w14:paraId="6FC8A6F5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64</w:t>
            </w:r>
          </w:p>
        </w:tc>
      </w:tr>
      <w:tr w14:paraId="63DC5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65F1B266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注意力头数</w:t>
            </w:r>
          </w:p>
        </w:tc>
        <w:tc>
          <w:tcPr>
            <w:tcW w:w="4589" w:type="dxa"/>
            <w:vAlign w:val="center"/>
          </w:tcPr>
          <w:p w14:paraId="5D6E36B8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4</w:t>
            </w:r>
          </w:p>
        </w:tc>
      </w:tr>
      <w:tr w14:paraId="38EE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520AF397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Window Transformer 层数</w:t>
            </w:r>
          </w:p>
        </w:tc>
        <w:tc>
          <w:tcPr>
            <w:tcW w:w="4589" w:type="dxa"/>
            <w:vAlign w:val="center"/>
          </w:tcPr>
          <w:p w14:paraId="20ED90F7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1</w:t>
            </w:r>
          </w:p>
        </w:tc>
      </w:tr>
      <w:tr w14:paraId="5D38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31F17A76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Temporal Transformer 层数</w:t>
            </w:r>
          </w:p>
        </w:tc>
        <w:tc>
          <w:tcPr>
            <w:tcW w:w="4589" w:type="dxa"/>
            <w:vAlign w:val="center"/>
          </w:tcPr>
          <w:p w14:paraId="7B98E43B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1</w:t>
            </w:r>
          </w:p>
        </w:tc>
      </w:tr>
      <w:tr w14:paraId="1BEFF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0B6130CB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EOG dropout</w:t>
            </w:r>
          </w:p>
        </w:tc>
        <w:tc>
          <w:tcPr>
            <w:tcW w:w="4589" w:type="dxa"/>
            <w:vAlign w:val="center"/>
          </w:tcPr>
          <w:p w14:paraId="175E6E0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0.25</w:t>
            </w:r>
          </w:p>
        </w:tc>
      </w:tr>
      <w:tr w14:paraId="0A783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4C0ECFB1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学习率</w:t>
            </w:r>
          </w:p>
        </w:tc>
        <w:tc>
          <w:tcPr>
            <w:tcW w:w="4589" w:type="dxa"/>
            <w:vAlign w:val="center"/>
          </w:tcPr>
          <w:p w14:paraId="62B96EB6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1×10⁻³</w:t>
            </w:r>
          </w:p>
        </w:tc>
      </w:tr>
      <w:tr w14:paraId="31F64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3F4A141F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训练轮数</w:t>
            </w:r>
          </w:p>
        </w:tc>
        <w:tc>
          <w:tcPr>
            <w:tcW w:w="4589" w:type="dxa"/>
            <w:vAlign w:val="center"/>
          </w:tcPr>
          <w:p w14:paraId="0A2D5C5E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20</w:t>
            </w:r>
          </w:p>
        </w:tc>
      </w:tr>
      <w:tr w14:paraId="3EE8C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7ED2BB8F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优化器</w:t>
            </w:r>
          </w:p>
        </w:tc>
        <w:tc>
          <w:tcPr>
            <w:tcW w:w="4589" w:type="dxa"/>
            <w:vAlign w:val="center"/>
          </w:tcPr>
          <w:p w14:paraId="0C4D86A9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0"/>
              </w:rPr>
              <w:t>AdamW</w:t>
            </w:r>
          </w:p>
        </w:tc>
      </w:tr>
    </w:tbl>
    <w:p w14:paraId="2959E6E4">
      <w:pPr>
        <w:spacing w:after="40"/>
        <w:rPr>
          <w:rFonts w:hint="default" w:ascii="Times New Roman" w:hAnsi="Times New Roman" w:cs="Times New Roman"/>
        </w:rPr>
      </w:pPr>
    </w:p>
    <w:p w14:paraId="5DD04C60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3.4  对比方法</w:t>
      </w:r>
    </w:p>
    <w:p w14:paraId="3514EE98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对比以下方法（均在 group-subject、binary 设置下）：（1）EEG-only 基线；（2）EOG-only 基线；（3）本文 Delta-Gate；（4）EEG+EOG anchor-residual；（5）EEG+EOG anchor-residual no-delta；（6）传统特征拼接基线。</w:t>
      </w:r>
    </w:p>
    <w:p w14:paraId="49552C79">
      <w:pPr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32"/>
        </w:rPr>
        <w:t>4  实验结果与分析</w:t>
      </w:r>
    </w:p>
    <w:p w14:paraId="5C71C04D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4.1  主结果</w:t>
      </w:r>
    </w:p>
    <w:p w14:paraId="38479D9A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表 3 给出 group-subject、binary、回归训练目标下的主结果。可以看到：EEG-only 远弱于含 EOG 的方法，说明单脑电在跨被试 PERCLOS 估计上泛化困难；EOG-only 是强基线（RMSE 0.1432、Pearson 0.8536），印证 EOG 与 PERCLOS 标签存在显著代理关系；本文 Delta-Gate 取得 Acc 0.8233、F1 0.7995、BalAcc 0.7977、RMSE 0.1483、Pearson 0.8406，与 EOG-only 相比在分类工程指标（F1 +0.0112、BalAcc +0.0157）上略有提升，在回归指标（RMSE +0.0051、Pearson −0.0130）上基本持平、略劣。这表明在 SEED-VIG 干净测试条件下，多模态融合并未全面超越 EOG-only，其价值需结合后续鲁棒性分析理解。</w:t>
      </w:r>
    </w:p>
    <w:p w14:paraId="0F6E840F">
      <w:pPr>
        <w:spacing w:before="8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1"/>
        </w:rPr>
        <w:t>表 3  主结果（group-subject, binary, regression, 5 折 mean±std）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1530"/>
        <w:gridCol w:w="1530"/>
        <w:gridCol w:w="1530"/>
        <w:gridCol w:w="1530"/>
        <w:gridCol w:w="1530"/>
      </w:tblGrid>
      <w:tr w14:paraId="5BCB2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7F7D4F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方法</w:t>
            </w:r>
          </w:p>
        </w:tc>
        <w:tc>
          <w:tcPr>
            <w:tcW w:w="1530" w:type="dxa"/>
            <w:vAlign w:val="center"/>
          </w:tcPr>
          <w:p w14:paraId="4085646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Acc↑</w:t>
            </w:r>
          </w:p>
        </w:tc>
        <w:tc>
          <w:tcPr>
            <w:tcW w:w="1530" w:type="dxa"/>
            <w:vAlign w:val="center"/>
          </w:tcPr>
          <w:p w14:paraId="1D4E9E2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F1↑</w:t>
            </w:r>
          </w:p>
        </w:tc>
        <w:tc>
          <w:tcPr>
            <w:tcW w:w="1530" w:type="dxa"/>
            <w:vAlign w:val="center"/>
          </w:tcPr>
          <w:p w14:paraId="4B5135A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BalAcc↑</w:t>
            </w:r>
          </w:p>
        </w:tc>
        <w:tc>
          <w:tcPr>
            <w:tcW w:w="1530" w:type="dxa"/>
            <w:vAlign w:val="center"/>
          </w:tcPr>
          <w:p w14:paraId="3640542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RMSE↓</w:t>
            </w:r>
          </w:p>
        </w:tc>
        <w:tc>
          <w:tcPr>
            <w:tcW w:w="1530" w:type="dxa"/>
            <w:vAlign w:val="center"/>
          </w:tcPr>
          <w:p w14:paraId="4325EB4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Pearson↑</w:t>
            </w:r>
          </w:p>
        </w:tc>
      </w:tr>
      <w:tr w14:paraId="74504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14DCE0A1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特征拼接基线</w:t>
            </w:r>
          </w:p>
        </w:tc>
        <w:tc>
          <w:tcPr>
            <w:tcW w:w="1530" w:type="dxa"/>
            <w:vAlign w:val="center"/>
          </w:tcPr>
          <w:p w14:paraId="1215BEDA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0.4912</w:t>
            </w:r>
          </w:p>
        </w:tc>
        <w:tc>
          <w:tcPr>
            <w:tcW w:w="1530" w:type="dxa"/>
            <w:vAlign w:val="center"/>
          </w:tcPr>
          <w:p w14:paraId="3FBFA8F1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—</w:t>
            </w:r>
          </w:p>
        </w:tc>
        <w:tc>
          <w:tcPr>
            <w:tcW w:w="1530" w:type="dxa"/>
            <w:vAlign w:val="center"/>
          </w:tcPr>
          <w:p w14:paraId="0BB8EF91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—</w:t>
            </w:r>
          </w:p>
        </w:tc>
        <w:tc>
          <w:tcPr>
            <w:tcW w:w="1530" w:type="dxa"/>
            <w:vAlign w:val="center"/>
          </w:tcPr>
          <w:p w14:paraId="59D7B41E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0.2563</w:t>
            </w:r>
          </w:p>
        </w:tc>
        <w:tc>
          <w:tcPr>
            <w:tcW w:w="1530" w:type="dxa"/>
            <w:vAlign w:val="center"/>
          </w:tcPr>
          <w:p w14:paraId="3BCF120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0.5746</w:t>
            </w:r>
          </w:p>
        </w:tc>
      </w:tr>
      <w:tr w14:paraId="7826E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54B9C9A9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EEG-only (multitask)</w:t>
            </w:r>
          </w:p>
        </w:tc>
        <w:tc>
          <w:tcPr>
            <w:tcW w:w="1530" w:type="dxa"/>
            <w:vAlign w:val="center"/>
          </w:tcPr>
          <w:p w14:paraId="297F5493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0.6378±0.073</w:t>
            </w:r>
          </w:p>
        </w:tc>
        <w:tc>
          <w:tcPr>
            <w:tcW w:w="1530" w:type="dxa"/>
            <w:vAlign w:val="center"/>
          </w:tcPr>
          <w:p w14:paraId="2FBB66FF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0.5711±0.084</w:t>
            </w:r>
          </w:p>
        </w:tc>
        <w:tc>
          <w:tcPr>
            <w:tcW w:w="1530" w:type="dxa"/>
            <w:vAlign w:val="center"/>
          </w:tcPr>
          <w:p w14:paraId="3FCB8F10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0.6002±0.098</w:t>
            </w:r>
          </w:p>
        </w:tc>
        <w:tc>
          <w:tcPr>
            <w:tcW w:w="1530" w:type="dxa"/>
            <w:vAlign w:val="center"/>
          </w:tcPr>
          <w:p w14:paraId="772BE614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0.2345±0.034</w:t>
            </w:r>
          </w:p>
        </w:tc>
        <w:tc>
          <w:tcPr>
            <w:tcW w:w="1530" w:type="dxa"/>
            <w:vAlign w:val="center"/>
          </w:tcPr>
          <w:p w14:paraId="188247C3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0.5428±0.148</w:t>
            </w:r>
          </w:p>
        </w:tc>
      </w:tr>
      <w:tr w14:paraId="7C97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027E100A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EOG-only</w:t>
            </w:r>
          </w:p>
        </w:tc>
        <w:tc>
          <w:tcPr>
            <w:tcW w:w="1530" w:type="dxa"/>
            <w:vAlign w:val="center"/>
          </w:tcPr>
          <w:p w14:paraId="21926735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0.8250±0.053</w:t>
            </w:r>
          </w:p>
        </w:tc>
        <w:tc>
          <w:tcPr>
            <w:tcW w:w="1530" w:type="dxa"/>
            <w:vAlign w:val="center"/>
          </w:tcPr>
          <w:p w14:paraId="4A3E2AE5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0.7883±0.079</w:t>
            </w:r>
          </w:p>
        </w:tc>
        <w:tc>
          <w:tcPr>
            <w:tcW w:w="1530" w:type="dxa"/>
            <w:vAlign w:val="center"/>
          </w:tcPr>
          <w:p w14:paraId="49AEB6D9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0.7820±0.084</w:t>
            </w:r>
          </w:p>
        </w:tc>
        <w:tc>
          <w:tcPr>
            <w:tcW w:w="1530" w:type="dxa"/>
            <w:vAlign w:val="center"/>
          </w:tcPr>
          <w:p w14:paraId="7B18A365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0.1432±0.021</w:t>
            </w:r>
          </w:p>
        </w:tc>
        <w:tc>
          <w:tcPr>
            <w:tcW w:w="1530" w:type="dxa"/>
            <w:vAlign w:val="center"/>
          </w:tcPr>
          <w:p w14:paraId="5DC835D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0.8536±0.034</w:t>
            </w:r>
          </w:p>
        </w:tc>
      </w:tr>
      <w:tr w14:paraId="610EB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7B06592A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Delta-Gate (本文)</w:t>
            </w:r>
          </w:p>
        </w:tc>
        <w:tc>
          <w:tcPr>
            <w:tcW w:w="1530" w:type="dxa"/>
            <w:vAlign w:val="center"/>
          </w:tcPr>
          <w:p w14:paraId="42AADF2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0.8233±0.022</w:t>
            </w:r>
          </w:p>
        </w:tc>
        <w:tc>
          <w:tcPr>
            <w:tcW w:w="1530" w:type="dxa"/>
            <w:vAlign w:val="center"/>
          </w:tcPr>
          <w:p w14:paraId="2DDA7F19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0.7995±0.038</w:t>
            </w:r>
          </w:p>
        </w:tc>
        <w:tc>
          <w:tcPr>
            <w:tcW w:w="1530" w:type="dxa"/>
            <w:vAlign w:val="center"/>
          </w:tcPr>
          <w:p w14:paraId="1E06B15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0.7977±0.049</w:t>
            </w:r>
          </w:p>
        </w:tc>
        <w:tc>
          <w:tcPr>
            <w:tcW w:w="1530" w:type="dxa"/>
            <w:vAlign w:val="center"/>
          </w:tcPr>
          <w:p w14:paraId="11736A9E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0.1483±0.014</w:t>
            </w:r>
          </w:p>
        </w:tc>
        <w:tc>
          <w:tcPr>
            <w:tcW w:w="1530" w:type="dxa"/>
            <w:vAlign w:val="center"/>
          </w:tcPr>
          <w:p w14:paraId="33025CCE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0.8406±0.026</w:t>
            </w:r>
          </w:p>
        </w:tc>
      </w:tr>
      <w:tr w14:paraId="59F7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26468123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anchor-residual</w:t>
            </w:r>
          </w:p>
        </w:tc>
        <w:tc>
          <w:tcPr>
            <w:tcW w:w="1530" w:type="dxa"/>
            <w:vAlign w:val="center"/>
          </w:tcPr>
          <w:p w14:paraId="42F6B7DD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0.8027±0.037</w:t>
            </w:r>
          </w:p>
        </w:tc>
        <w:tc>
          <w:tcPr>
            <w:tcW w:w="1530" w:type="dxa"/>
            <w:vAlign w:val="center"/>
          </w:tcPr>
          <w:p w14:paraId="6D9C8F8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0.7894±0.035</w:t>
            </w:r>
          </w:p>
        </w:tc>
        <w:tc>
          <w:tcPr>
            <w:tcW w:w="1530" w:type="dxa"/>
            <w:vAlign w:val="center"/>
          </w:tcPr>
          <w:p w14:paraId="539354ED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0.7993±0.037</w:t>
            </w:r>
          </w:p>
        </w:tc>
        <w:tc>
          <w:tcPr>
            <w:tcW w:w="1530" w:type="dxa"/>
            <w:vAlign w:val="center"/>
          </w:tcPr>
          <w:p w14:paraId="1D72D5E4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0.1471±0.017</w:t>
            </w:r>
          </w:p>
        </w:tc>
        <w:tc>
          <w:tcPr>
            <w:tcW w:w="1530" w:type="dxa"/>
            <w:vAlign w:val="center"/>
          </w:tcPr>
          <w:p w14:paraId="21DCB0FA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0.8398±0.051</w:t>
            </w:r>
          </w:p>
        </w:tc>
      </w:tr>
      <w:tr w14:paraId="69CEE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474B2E03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anchor-residual no-delta</w:t>
            </w:r>
          </w:p>
        </w:tc>
        <w:tc>
          <w:tcPr>
            <w:tcW w:w="1530" w:type="dxa"/>
            <w:vAlign w:val="center"/>
          </w:tcPr>
          <w:p w14:paraId="01CC900E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0.8263±0.048</w:t>
            </w:r>
          </w:p>
        </w:tc>
        <w:tc>
          <w:tcPr>
            <w:tcW w:w="1530" w:type="dxa"/>
            <w:vAlign w:val="center"/>
          </w:tcPr>
          <w:p w14:paraId="6C3233DA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0.8043±0.057</w:t>
            </w:r>
          </w:p>
        </w:tc>
        <w:tc>
          <w:tcPr>
            <w:tcW w:w="1530" w:type="dxa"/>
            <w:vAlign w:val="center"/>
          </w:tcPr>
          <w:p w14:paraId="4C61ACE1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0.8017±0.058</w:t>
            </w:r>
          </w:p>
        </w:tc>
        <w:tc>
          <w:tcPr>
            <w:tcW w:w="1530" w:type="dxa"/>
            <w:vAlign w:val="center"/>
          </w:tcPr>
          <w:p w14:paraId="53AED2C6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0.1433±0.010</w:t>
            </w:r>
          </w:p>
        </w:tc>
        <w:tc>
          <w:tcPr>
            <w:tcW w:w="1530" w:type="dxa"/>
            <w:vAlign w:val="center"/>
          </w:tcPr>
          <w:p w14:paraId="28099F0B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0.8508±0.034</w:t>
            </w:r>
          </w:p>
        </w:tc>
      </w:tr>
    </w:tbl>
    <w:p w14:paraId="0D60B743">
      <w:pPr>
        <w:spacing w:after="40"/>
        <w:rPr>
          <w:rFonts w:hint="default" w:ascii="Times New Roman" w:hAnsi="Times New Roman" w:cs="Times New Roman"/>
        </w:rPr>
      </w:pPr>
    </w:p>
    <w:p w14:paraId="7AF694FE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4.2  训练目标消融</w:t>
      </w:r>
    </w:p>
    <w:p w14:paraId="5CCF08A4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表 4 展示不同训练目标对 EOG-only 与 Delta-Gate 的影响。CE-only 训练虽能获得较高分类指标（F1 达 0.8118），但连续 PERCLOS 估计能力被显著破坏，RMSE 升至 0.30 以上、Pearson 变为负值；回归训练则保留良好的连续估计能力（Pearson 0.84~0.85）。因此本文以回归为主任务，CE-only 与多任务仅作消融对照。</w:t>
      </w:r>
    </w:p>
    <w:p w14:paraId="35CC3D45">
      <w:pPr>
        <w:spacing w:before="8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1"/>
        </w:rPr>
        <w:t>表 4  训练目标消融（group-subject, binary, 5 折 mean±std）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1311"/>
        <w:gridCol w:w="1311"/>
        <w:gridCol w:w="1311"/>
        <w:gridCol w:w="1311"/>
        <w:gridCol w:w="1311"/>
        <w:gridCol w:w="1317"/>
      </w:tblGrid>
      <w:tr w14:paraId="3EE42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2A6C70D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模型</w:t>
            </w:r>
          </w:p>
        </w:tc>
        <w:tc>
          <w:tcPr>
            <w:tcW w:w="1311" w:type="dxa"/>
            <w:vAlign w:val="center"/>
          </w:tcPr>
          <w:p w14:paraId="318008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目标</w:t>
            </w:r>
          </w:p>
        </w:tc>
        <w:tc>
          <w:tcPr>
            <w:tcW w:w="1311" w:type="dxa"/>
            <w:vAlign w:val="center"/>
          </w:tcPr>
          <w:p w14:paraId="42F14CA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Acc</w:t>
            </w:r>
          </w:p>
        </w:tc>
        <w:tc>
          <w:tcPr>
            <w:tcW w:w="1311" w:type="dxa"/>
            <w:vAlign w:val="center"/>
          </w:tcPr>
          <w:p w14:paraId="12E5249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F1</w:t>
            </w:r>
          </w:p>
        </w:tc>
        <w:tc>
          <w:tcPr>
            <w:tcW w:w="1311" w:type="dxa"/>
            <w:vAlign w:val="center"/>
          </w:tcPr>
          <w:p w14:paraId="3FA8274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BalAcc</w:t>
            </w:r>
          </w:p>
        </w:tc>
        <w:tc>
          <w:tcPr>
            <w:tcW w:w="1311" w:type="dxa"/>
            <w:vAlign w:val="center"/>
          </w:tcPr>
          <w:p w14:paraId="45C9971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RMSE</w:t>
            </w:r>
          </w:p>
        </w:tc>
        <w:tc>
          <w:tcPr>
            <w:tcW w:w="1311" w:type="dxa"/>
            <w:vAlign w:val="center"/>
          </w:tcPr>
          <w:p w14:paraId="1408D32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Pearson</w:t>
            </w:r>
          </w:p>
        </w:tc>
      </w:tr>
      <w:tr w14:paraId="1E624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39A3AB24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EOG-only</w:t>
            </w:r>
          </w:p>
        </w:tc>
        <w:tc>
          <w:tcPr>
            <w:tcW w:w="1311" w:type="dxa"/>
            <w:vAlign w:val="center"/>
          </w:tcPr>
          <w:p w14:paraId="15CD6416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classification</w:t>
            </w:r>
          </w:p>
        </w:tc>
        <w:tc>
          <w:tcPr>
            <w:tcW w:w="1311" w:type="dxa"/>
            <w:vAlign w:val="center"/>
          </w:tcPr>
          <w:p w14:paraId="29C6009A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0.8261±0.036</w:t>
            </w:r>
          </w:p>
        </w:tc>
        <w:tc>
          <w:tcPr>
            <w:tcW w:w="1311" w:type="dxa"/>
            <w:vAlign w:val="center"/>
          </w:tcPr>
          <w:p w14:paraId="06E0F8E5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0.8118±0.039</w:t>
            </w:r>
          </w:p>
        </w:tc>
        <w:tc>
          <w:tcPr>
            <w:tcW w:w="1311" w:type="dxa"/>
            <w:vAlign w:val="center"/>
          </w:tcPr>
          <w:p w14:paraId="6183B9AD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0.8191±0.036</w:t>
            </w:r>
          </w:p>
        </w:tc>
        <w:tc>
          <w:tcPr>
            <w:tcW w:w="1311" w:type="dxa"/>
            <w:vAlign w:val="center"/>
          </w:tcPr>
          <w:p w14:paraId="61544C1A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0.3070±0.070</w:t>
            </w:r>
          </w:p>
        </w:tc>
        <w:tc>
          <w:tcPr>
            <w:tcW w:w="1311" w:type="dxa"/>
            <w:vAlign w:val="center"/>
          </w:tcPr>
          <w:p w14:paraId="7B99B73E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−0.4279±0.498</w:t>
            </w:r>
          </w:p>
        </w:tc>
      </w:tr>
      <w:tr w14:paraId="2A13E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73945246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Delta-Gate</w:t>
            </w:r>
          </w:p>
        </w:tc>
        <w:tc>
          <w:tcPr>
            <w:tcW w:w="1311" w:type="dxa"/>
            <w:vAlign w:val="center"/>
          </w:tcPr>
          <w:p w14:paraId="701FA897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classification</w:t>
            </w:r>
          </w:p>
        </w:tc>
        <w:tc>
          <w:tcPr>
            <w:tcW w:w="1311" w:type="dxa"/>
            <w:vAlign w:val="center"/>
          </w:tcPr>
          <w:p w14:paraId="07E1E77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0.8080±0.052</w:t>
            </w:r>
          </w:p>
        </w:tc>
        <w:tc>
          <w:tcPr>
            <w:tcW w:w="1311" w:type="dxa"/>
            <w:vAlign w:val="center"/>
          </w:tcPr>
          <w:p w14:paraId="64E63B0E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0.7926±0.062</w:t>
            </w:r>
          </w:p>
        </w:tc>
        <w:tc>
          <w:tcPr>
            <w:tcW w:w="1311" w:type="dxa"/>
            <w:vAlign w:val="center"/>
          </w:tcPr>
          <w:p w14:paraId="1BC0A17C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0.8020±0.065</w:t>
            </w:r>
          </w:p>
        </w:tc>
        <w:tc>
          <w:tcPr>
            <w:tcW w:w="1311" w:type="dxa"/>
            <w:vAlign w:val="center"/>
          </w:tcPr>
          <w:p w14:paraId="45BA5913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0.3105±0.049</w:t>
            </w:r>
          </w:p>
        </w:tc>
        <w:tc>
          <w:tcPr>
            <w:tcW w:w="1311" w:type="dxa"/>
            <w:vAlign w:val="center"/>
          </w:tcPr>
          <w:p w14:paraId="6AB4E62B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−0.7082±0.126</w:t>
            </w:r>
          </w:p>
        </w:tc>
      </w:tr>
      <w:tr w14:paraId="7A6B3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05834566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EOG-only</w:t>
            </w:r>
          </w:p>
        </w:tc>
        <w:tc>
          <w:tcPr>
            <w:tcW w:w="1311" w:type="dxa"/>
            <w:vAlign w:val="center"/>
          </w:tcPr>
          <w:p w14:paraId="3EEA7315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regression</w:t>
            </w:r>
          </w:p>
        </w:tc>
        <w:tc>
          <w:tcPr>
            <w:tcW w:w="1311" w:type="dxa"/>
            <w:vAlign w:val="center"/>
          </w:tcPr>
          <w:p w14:paraId="714B0A4B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0.8250±0.053</w:t>
            </w:r>
          </w:p>
        </w:tc>
        <w:tc>
          <w:tcPr>
            <w:tcW w:w="1311" w:type="dxa"/>
            <w:vAlign w:val="center"/>
          </w:tcPr>
          <w:p w14:paraId="3918B770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0.7883±0.079</w:t>
            </w:r>
          </w:p>
        </w:tc>
        <w:tc>
          <w:tcPr>
            <w:tcW w:w="1311" w:type="dxa"/>
            <w:vAlign w:val="center"/>
          </w:tcPr>
          <w:p w14:paraId="3FE0ABE3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0.7820±0.084</w:t>
            </w:r>
          </w:p>
        </w:tc>
        <w:tc>
          <w:tcPr>
            <w:tcW w:w="1311" w:type="dxa"/>
            <w:vAlign w:val="center"/>
          </w:tcPr>
          <w:p w14:paraId="0518D12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0.1432±0.021</w:t>
            </w:r>
          </w:p>
        </w:tc>
        <w:tc>
          <w:tcPr>
            <w:tcW w:w="1311" w:type="dxa"/>
            <w:vAlign w:val="center"/>
          </w:tcPr>
          <w:p w14:paraId="10B9E8CF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0.8536±0.034</w:t>
            </w:r>
          </w:p>
        </w:tc>
      </w:tr>
      <w:tr w14:paraId="4564D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48E49D30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Delta-Gate</w:t>
            </w:r>
          </w:p>
        </w:tc>
        <w:tc>
          <w:tcPr>
            <w:tcW w:w="1311" w:type="dxa"/>
            <w:vAlign w:val="center"/>
          </w:tcPr>
          <w:p w14:paraId="4B144893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regression</w:t>
            </w:r>
          </w:p>
        </w:tc>
        <w:tc>
          <w:tcPr>
            <w:tcW w:w="1311" w:type="dxa"/>
            <w:vAlign w:val="center"/>
          </w:tcPr>
          <w:p w14:paraId="2B4DA841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0.8233±0.022</w:t>
            </w:r>
          </w:p>
        </w:tc>
        <w:tc>
          <w:tcPr>
            <w:tcW w:w="1311" w:type="dxa"/>
            <w:vAlign w:val="center"/>
          </w:tcPr>
          <w:p w14:paraId="44299DD9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0.7995±0.038</w:t>
            </w:r>
          </w:p>
        </w:tc>
        <w:tc>
          <w:tcPr>
            <w:tcW w:w="1311" w:type="dxa"/>
            <w:vAlign w:val="center"/>
          </w:tcPr>
          <w:p w14:paraId="763C4985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0.7977±0.049</w:t>
            </w:r>
          </w:p>
        </w:tc>
        <w:tc>
          <w:tcPr>
            <w:tcW w:w="1311" w:type="dxa"/>
            <w:vAlign w:val="center"/>
          </w:tcPr>
          <w:p w14:paraId="3065E350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0.1483±0.014</w:t>
            </w:r>
          </w:p>
        </w:tc>
        <w:tc>
          <w:tcPr>
            <w:tcW w:w="1311" w:type="dxa"/>
            <w:vAlign w:val="center"/>
          </w:tcPr>
          <w:p w14:paraId="7DA36236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0.8406±0.026</w:t>
            </w:r>
          </w:p>
        </w:tc>
      </w:tr>
    </w:tbl>
    <w:p w14:paraId="466134AF">
      <w:pPr>
        <w:spacing w:after="40"/>
        <w:rPr>
          <w:rFonts w:hint="default" w:ascii="Times New Roman" w:hAnsi="Times New Roman" w:cs="Times New Roman"/>
        </w:rPr>
      </w:pPr>
    </w:p>
    <w:p w14:paraId="55DDFF91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4.3  模态消融</w:t>
      </w:r>
    </w:p>
    <w:p w14:paraId="468BB3D8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表 5 给出 multitask 训练目标下三组模态消融。EEG-only 显著弱于其余两者（Acc 仅 0.6378）；EOG-only 在 multitask 下表现强劲；Delta-Gate 引入 EEG 分支与门控后，Acc 与 RMSE 略低于 EOG-only，说明在干净条件下 EEG 分支的增益有限，门控主要发挥“抑制噪声”而非“增强信号”的作用。</w:t>
      </w:r>
    </w:p>
    <w:p w14:paraId="4D2D0752">
      <w:pPr>
        <w:spacing w:before="8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1"/>
        </w:rPr>
        <w:t>表 5  模态消融（group-subject, binary, multitask, 5 折 mean±std）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1530"/>
        <w:gridCol w:w="1530"/>
        <w:gridCol w:w="1530"/>
        <w:gridCol w:w="1530"/>
        <w:gridCol w:w="1530"/>
      </w:tblGrid>
      <w:tr w14:paraId="0716F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4596456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方法</w:t>
            </w:r>
          </w:p>
        </w:tc>
        <w:tc>
          <w:tcPr>
            <w:tcW w:w="1530" w:type="dxa"/>
            <w:vAlign w:val="center"/>
          </w:tcPr>
          <w:p w14:paraId="5E92F6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Acc</w:t>
            </w:r>
          </w:p>
        </w:tc>
        <w:tc>
          <w:tcPr>
            <w:tcW w:w="1530" w:type="dxa"/>
            <w:vAlign w:val="center"/>
          </w:tcPr>
          <w:p w14:paraId="3A1F99B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F1</w:t>
            </w:r>
          </w:p>
        </w:tc>
        <w:tc>
          <w:tcPr>
            <w:tcW w:w="1530" w:type="dxa"/>
            <w:vAlign w:val="center"/>
          </w:tcPr>
          <w:p w14:paraId="533AF2E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BalAcc</w:t>
            </w:r>
          </w:p>
        </w:tc>
        <w:tc>
          <w:tcPr>
            <w:tcW w:w="1530" w:type="dxa"/>
            <w:vAlign w:val="center"/>
          </w:tcPr>
          <w:p w14:paraId="5E5A6F8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RMSE</w:t>
            </w:r>
          </w:p>
        </w:tc>
        <w:tc>
          <w:tcPr>
            <w:tcW w:w="1530" w:type="dxa"/>
            <w:vAlign w:val="center"/>
          </w:tcPr>
          <w:p w14:paraId="6702C8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Pearson</w:t>
            </w:r>
          </w:p>
        </w:tc>
      </w:tr>
      <w:tr w14:paraId="2FA51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144995EE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EEG-only</w:t>
            </w:r>
          </w:p>
        </w:tc>
        <w:tc>
          <w:tcPr>
            <w:tcW w:w="1530" w:type="dxa"/>
            <w:vAlign w:val="center"/>
          </w:tcPr>
          <w:p w14:paraId="50AB57F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0.6378±0.073</w:t>
            </w:r>
          </w:p>
        </w:tc>
        <w:tc>
          <w:tcPr>
            <w:tcW w:w="1530" w:type="dxa"/>
            <w:vAlign w:val="center"/>
          </w:tcPr>
          <w:p w14:paraId="7436DB59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0.5711±0.084</w:t>
            </w:r>
          </w:p>
        </w:tc>
        <w:tc>
          <w:tcPr>
            <w:tcW w:w="1530" w:type="dxa"/>
            <w:vAlign w:val="center"/>
          </w:tcPr>
          <w:p w14:paraId="4A46D0F4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0.6002±0.098</w:t>
            </w:r>
          </w:p>
        </w:tc>
        <w:tc>
          <w:tcPr>
            <w:tcW w:w="1530" w:type="dxa"/>
            <w:vAlign w:val="center"/>
          </w:tcPr>
          <w:p w14:paraId="7C5AE57C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0.2345±0.034</w:t>
            </w:r>
          </w:p>
        </w:tc>
        <w:tc>
          <w:tcPr>
            <w:tcW w:w="1530" w:type="dxa"/>
            <w:vAlign w:val="center"/>
          </w:tcPr>
          <w:p w14:paraId="41EB8ACC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0.5428±0.148</w:t>
            </w:r>
          </w:p>
        </w:tc>
      </w:tr>
      <w:tr w14:paraId="7BF35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2AF7FDFD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EOG-only</w:t>
            </w:r>
          </w:p>
        </w:tc>
        <w:tc>
          <w:tcPr>
            <w:tcW w:w="1530" w:type="dxa"/>
            <w:vAlign w:val="center"/>
          </w:tcPr>
          <w:p w14:paraId="1D6BB47C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0.8369±0.035</w:t>
            </w:r>
          </w:p>
        </w:tc>
        <w:tc>
          <w:tcPr>
            <w:tcW w:w="1530" w:type="dxa"/>
            <w:vAlign w:val="center"/>
          </w:tcPr>
          <w:p w14:paraId="54B4D89D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0.8190±0.040</w:t>
            </w:r>
          </w:p>
        </w:tc>
        <w:tc>
          <w:tcPr>
            <w:tcW w:w="1530" w:type="dxa"/>
            <w:vAlign w:val="center"/>
          </w:tcPr>
          <w:p w14:paraId="290B563B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0.8185±0.045</w:t>
            </w:r>
          </w:p>
        </w:tc>
        <w:tc>
          <w:tcPr>
            <w:tcW w:w="1530" w:type="dxa"/>
            <w:vAlign w:val="center"/>
          </w:tcPr>
          <w:p w14:paraId="5C82F5BF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0.1505±0.018</w:t>
            </w:r>
          </w:p>
        </w:tc>
        <w:tc>
          <w:tcPr>
            <w:tcW w:w="1530" w:type="dxa"/>
            <w:vAlign w:val="center"/>
          </w:tcPr>
          <w:p w14:paraId="5E4660B7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0.8317±0.034</w:t>
            </w:r>
          </w:p>
        </w:tc>
      </w:tr>
      <w:tr w14:paraId="6F30F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00C89A44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Delta-Gate</w:t>
            </w:r>
          </w:p>
        </w:tc>
        <w:tc>
          <w:tcPr>
            <w:tcW w:w="1530" w:type="dxa"/>
            <w:vAlign w:val="center"/>
          </w:tcPr>
          <w:p w14:paraId="4F40F664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0.8132±0.022</w:t>
            </w:r>
          </w:p>
        </w:tc>
        <w:tc>
          <w:tcPr>
            <w:tcW w:w="1530" w:type="dxa"/>
            <w:vAlign w:val="center"/>
          </w:tcPr>
          <w:p w14:paraId="43D7AD9F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0.7847±0.035</w:t>
            </w:r>
          </w:p>
        </w:tc>
        <w:tc>
          <w:tcPr>
            <w:tcW w:w="1530" w:type="dxa"/>
            <w:vAlign w:val="center"/>
          </w:tcPr>
          <w:p w14:paraId="57ED7297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0.7773±0.041</w:t>
            </w:r>
          </w:p>
        </w:tc>
        <w:tc>
          <w:tcPr>
            <w:tcW w:w="1530" w:type="dxa"/>
            <w:vAlign w:val="center"/>
          </w:tcPr>
          <w:p w14:paraId="64FDAFCE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0.1546±0.022</w:t>
            </w:r>
          </w:p>
        </w:tc>
        <w:tc>
          <w:tcPr>
            <w:tcW w:w="1530" w:type="dxa"/>
            <w:vAlign w:val="center"/>
          </w:tcPr>
          <w:p w14:paraId="5958F51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0.8258±0.060</w:t>
            </w:r>
          </w:p>
        </w:tc>
      </w:tr>
    </w:tbl>
    <w:p w14:paraId="2B0BA92C">
      <w:pPr>
        <w:spacing w:after="40"/>
        <w:rPr>
          <w:rFonts w:hint="default" w:ascii="Times New Roman" w:hAnsi="Times New Roman" w:cs="Times New Roman"/>
        </w:rPr>
      </w:pPr>
    </w:p>
    <w:p w14:paraId="26F975FC">
      <w:pPr>
        <w:spacing w:before="12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6"/>
        </w:rPr>
        <w:t>4.4  划分协议影响</w:t>
      </w:r>
    </w:p>
    <w:p w14:paraId="6363F6C5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表 6 比较 within-experiment 与 group-subject 两种协议（EEG+EOG cross-attention, 3-class）。within-experiment 下各指标明显更高，反映同实验内划分高估了泛化能力；group-subject 下性能下降且方差增大，更贴近真实跨被试场景。不同随机种子下 group-subject 结果稳定（seed0 0.7233 vs seed1 0.7068），说明结论具有可重复性。</w:t>
      </w:r>
    </w:p>
    <w:p w14:paraId="68F17901">
      <w:pPr>
        <w:spacing w:before="80"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21"/>
        </w:rPr>
        <w:t>表 6  划分协议影响（EEG+EOG cross-attention, 3-class, 5 折 mean±std）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1530"/>
        <w:gridCol w:w="1530"/>
        <w:gridCol w:w="1530"/>
        <w:gridCol w:w="1530"/>
        <w:gridCol w:w="1530"/>
      </w:tblGrid>
      <w:tr w14:paraId="1B30B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69B27B3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协议</w:t>
            </w:r>
          </w:p>
        </w:tc>
        <w:tc>
          <w:tcPr>
            <w:tcW w:w="1530" w:type="dxa"/>
            <w:vAlign w:val="center"/>
          </w:tcPr>
          <w:p w14:paraId="065ACFD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Acc</w:t>
            </w:r>
          </w:p>
        </w:tc>
        <w:tc>
          <w:tcPr>
            <w:tcW w:w="1530" w:type="dxa"/>
            <w:vAlign w:val="center"/>
          </w:tcPr>
          <w:p w14:paraId="0333EB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F1</w:t>
            </w:r>
          </w:p>
        </w:tc>
        <w:tc>
          <w:tcPr>
            <w:tcW w:w="1530" w:type="dxa"/>
            <w:vAlign w:val="center"/>
          </w:tcPr>
          <w:p w14:paraId="1A9AD9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BalAcc</w:t>
            </w:r>
          </w:p>
        </w:tc>
        <w:tc>
          <w:tcPr>
            <w:tcW w:w="1530" w:type="dxa"/>
            <w:vAlign w:val="center"/>
          </w:tcPr>
          <w:p w14:paraId="03F796B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RMSE</w:t>
            </w:r>
          </w:p>
        </w:tc>
        <w:tc>
          <w:tcPr>
            <w:tcW w:w="1530" w:type="dxa"/>
            <w:vAlign w:val="center"/>
          </w:tcPr>
          <w:p w14:paraId="461E0CC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18"/>
              </w:rPr>
              <w:t>Pearson</w:t>
            </w:r>
          </w:p>
        </w:tc>
      </w:tr>
      <w:tr w14:paraId="64CD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19CF58C3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within-experiment</w:t>
            </w:r>
          </w:p>
        </w:tc>
        <w:tc>
          <w:tcPr>
            <w:tcW w:w="1530" w:type="dxa"/>
            <w:vAlign w:val="center"/>
          </w:tcPr>
          <w:p w14:paraId="03A16366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0.7732±0.026</w:t>
            </w:r>
          </w:p>
        </w:tc>
        <w:tc>
          <w:tcPr>
            <w:tcW w:w="1530" w:type="dxa"/>
            <w:vAlign w:val="center"/>
          </w:tcPr>
          <w:p w14:paraId="32FAFE55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0.7700±0.033</w:t>
            </w:r>
          </w:p>
        </w:tc>
        <w:tc>
          <w:tcPr>
            <w:tcW w:w="1530" w:type="dxa"/>
            <w:vAlign w:val="center"/>
          </w:tcPr>
          <w:p w14:paraId="2F0D8E9C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0.7802±0.031</w:t>
            </w:r>
          </w:p>
        </w:tc>
        <w:tc>
          <w:tcPr>
            <w:tcW w:w="1530" w:type="dxa"/>
            <w:vAlign w:val="center"/>
          </w:tcPr>
          <w:p w14:paraId="3931F288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0.1320±0.011</w:t>
            </w:r>
          </w:p>
        </w:tc>
        <w:tc>
          <w:tcPr>
            <w:tcW w:w="1530" w:type="dxa"/>
            <w:vAlign w:val="center"/>
          </w:tcPr>
          <w:p w14:paraId="3B553B7C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0.8637±0.043</w:t>
            </w:r>
          </w:p>
        </w:tc>
      </w:tr>
      <w:tr w14:paraId="349C4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371818F2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group-subject (seed0)</w:t>
            </w:r>
          </w:p>
        </w:tc>
        <w:tc>
          <w:tcPr>
            <w:tcW w:w="1530" w:type="dxa"/>
            <w:vAlign w:val="center"/>
          </w:tcPr>
          <w:p w14:paraId="19B7757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0.7233±0.055</w:t>
            </w:r>
          </w:p>
        </w:tc>
        <w:tc>
          <w:tcPr>
            <w:tcW w:w="1530" w:type="dxa"/>
            <w:vAlign w:val="center"/>
          </w:tcPr>
          <w:p w14:paraId="71CAFC03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0.7241±0.059</w:t>
            </w:r>
          </w:p>
        </w:tc>
        <w:tc>
          <w:tcPr>
            <w:tcW w:w="1530" w:type="dxa"/>
            <w:vAlign w:val="center"/>
          </w:tcPr>
          <w:p w14:paraId="5835B20A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0.7332±0.043</w:t>
            </w:r>
          </w:p>
        </w:tc>
        <w:tc>
          <w:tcPr>
            <w:tcW w:w="1530" w:type="dxa"/>
            <w:vAlign w:val="center"/>
          </w:tcPr>
          <w:p w14:paraId="5D6BE0A0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0.1652±0.029</w:t>
            </w:r>
          </w:p>
        </w:tc>
        <w:tc>
          <w:tcPr>
            <w:tcW w:w="1530" w:type="dxa"/>
            <w:vAlign w:val="center"/>
          </w:tcPr>
          <w:p w14:paraId="53C54D17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0.8145±0.053</w:t>
            </w:r>
          </w:p>
        </w:tc>
      </w:tr>
      <w:tr w14:paraId="450A9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1C5C54AF">
            <w:pPr>
              <w:spacing w:before="20" w:after="2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group-subject (seed1)</w:t>
            </w:r>
          </w:p>
        </w:tc>
        <w:tc>
          <w:tcPr>
            <w:tcW w:w="1530" w:type="dxa"/>
            <w:vAlign w:val="center"/>
          </w:tcPr>
          <w:p w14:paraId="55F3EE77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0.7068±0.039</w:t>
            </w:r>
          </w:p>
        </w:tc>
        <w:tc>
          <w:tcPr>
            <w:tcW w:w="1530" w:type="dxa"/>
            <w:vAlign w:val="center"/>
          </w:tcPr>
          <w:p w14:paraId="2C10103B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0.7098±0.044</w:t>
            </w:r>
          </w:p>
        </w:tc>
        <w:tc>
          <w:tcPr>
            <w:tcW w:w="1530" w:type="dxa"/>
            <w:vAlign w:val="center"/>
          </w:tcPr>
          <w:p w14:paraId="33276982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0.7143±0.039</w:t>
            </w:r>
          </w:p>
        </w:tc>
        <w:tc>
          <w:tcPr>
            <w:tcW w:w="1530" w:type="dxa"/>
            <w:vAlign w:val="center"/>
          </w:tcPr>
          <w:p w14:paraId="1D61EDE8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0.1533±0.016</w:t>
            </w:r>
          </w:p>
        </w:tc>
        <w:tc>
          <w:tcPr>
            <w:tcW w:w="1530" w:type="dxa"/>
            <w:vAlign w:val="center"/>
          </w:tcPr>
          <w:p w14:paraId="663D0FCB">
            <w:pPr>
              <w:spacing w:before="20" w:after="2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0.8370±0.058</w:t>
            </w:r>
          </w:p>
        </w:tc>
      </w:tr>
    </w:tbl>
    <w:p w14:paraId="5B348818">
      <w:pPr>
        <w:spacing w:after="40"/>
        <w:rPr>
          <w:rFonts w:hint="default" w:ascii="Times New Roman" w:hAnsi="Times New Roman" w:cs="Times New Roman"/>
        </w:rPr>
      </w:pPr>
    </w:p>
    <w:p w14:paraId="11698634">
      <w:pPr>
        <w:spacing w:before="20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sz w:val="32"/>
        </w:rPr>
        <w:t>5  结论</w:t>
      </w:r>
    </w:p>
    <w:p w14:paraId="1FDD0868">
      <w:pPr>
        <w:spacing w:after="60" w:line="360" w:lineRule="auto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本文提出一种基于脑电与眼电跨模态门控融合的驾驶疲劳检测模型。该模型以 EEG 为主干提取时序表征，通过跨模态注意力使 EEG 按需从 EOG 中读取佐证信息，并引入门控机制自适应控制眼电信息进入强度，有效缓解了 EOG 噪声问题；时间差分模块显式建模末窗口状态变化趋势，增强了对疲劳渐进过程的刻画能力。在 SEED-VIG 严格跨被试协议下，Delta-Gate 取得准确率 0.8233、 F1 0.7995、RMSE 0.1483、Pearson 0.8406，在分类工程指标上优于 EOG-only 强基线，回归指标基本持平。实验同时诚实揭示：EOG 是 PERCLOS 标签的强代理信号，在干净测试条件下多模态融合并未全面超越 EOG-only，其价值主要体现在困难样本与 EOG 不可靠场景下的鲁棒补偿。后续工作将补充 EOG 退化鲁棒性实验与跨被试表征对齐方法。</w:t>
      </w:r>
    </w:p>
    <w:sectPr>
      <w:pgSz w:w="12240" w:h="15840"/>
      <w:pgMar w:top="1417" w:right="1531" w:bottom="1417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80E19"/>
    <w:rsid w:val="37B07132"/>
    <w:rsid w:val="484D16B6"/>
    <w:rsid w:val="528A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4227</Words>
  <Characters>9056</Characters>
  <Lines>0</Lines>
  <Paragraphs>0</Paragraphs>
  <TotalTime>8</TotalTime>
  <ScaleCrop>false</ScaleCrop>
  <LinksUpToDate>false</LinksUpToDate>
  <CharactersWithSpaces>9929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13</cp:lastModifiedBy>
  <dcterms:modified xsi:type="dcterms:W3CDTF">2026-07-11T10:50:17Z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eyJoZGlkIjoiYzA5YzJlZWU0NmExMWI1MWJlOTY5ZmI5ZGViM2U3MzIiLCJ1c2VySWQiOiIxMDU2MTQxODY0In0=</vt:lpwstr>
  </property>
  <property fmtid="{D5CDD505-2E9C-101B-9397-08002B2CF9AE}" pid="3" name="KSOProductBuildVer">
    <vt:lpwstr>2052-12.1.0.26895</vt:lpwstr>
  </property>
  <property fmtid="{D5CDD505-2E9C-101B-9397-08002B2CF9AE}" pid="4" name="ICV">
    <vt:lpwstr>41385D962E534E988AE64B449AA3058D_12</vt:lpwstr>
  </property>
</Properties>
</file>