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4C1A4">
      <w:pPr>
        <w:spacing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6"/>
        </w:rPr>
        <w:t>基于脑电与眼电跨模态门控融合的驾驶疲劳检测方法</w:t>
      </w:r>
    </w:p>
    <w:p w14:paraId="2715321F">
      <w:pPr>
        <w:spacing w:after="1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A Driving Fatigue Detection Method Based on Cross-Modal Gated Fusion of EEG and EOG</w:t>
      </w:r>
    </w:p>
    <w:p w14:paraId="4C493D80">
      <w:pPr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摘要：</w:t>
      </w:r>
      <w:r>
        <w:rPr>
          <w:rFonts w:hint="default" w:ascii="Times New Roman" w:hAnsi="Times New Roman" w:eastAsia="宋体" w:cs="Times New Roman"/>
          <w:sz w:val="21"/>
        </w:rPr>
        <w:t>驾驶疲劳检测是保障交通安全的重要课题。脑电（EEG）信号能够直接反映大脑生理状态，是疲劳检测的金标准信号；眼电（EOG）信号则能捕捉眨眼、闭眼、眼球运动等与困意强相关的行为特征</w:t>
      </w:r>
      <w:r>
        <w:rPr>
          <w:rFonts w:hint="default" w:ascii="Times New Roman" w:hAnsi="Times New Roman" w:eastAsia="宋体" w:cs="Times New Roman"/>
          <w:sz w:val="21"/>
          <w:highlight w:val="yellow"/>
        </w:rPr>
        <w:t>。然而，EOG 信号易受自主性动作（如揉眼、光照反射）干扰，直接融合会引入噪声。针对这一问题，本文提出一种基于脑电与眼电跨模态门控融合的驾驶疲劳检测模型（Raw EEG-EOG Delta-Gate）。该模型以 EEG 为主干提取时序表征，通过跨模态注意力（Cross-Attention）使 EEG 按需从 EOG 中读取佐证信息，并引入门控机制（EOG Gate）自适应控制每个时间窗口中眼电信息的进入强度；同时设计时间差分模块（Temporal Delta）显式建模最后两个窗口之间的状态变化趋势。模型同时输出二分类结果与连续 PERCLOS 回归值，支持多任务、纯分类、纯回归三种训练目标</w:t>
      </w:r>
      <w:r>
        <w:rPr>
          <w:rFonts w:hint="default" w:ascii="Times New Roman" w:hAnsi="Times New Roman" w:eastAsia="宋体" w:cs="Times New Roman"/>
          <w:sz w:val="21"/>
        </w:rPr>
        <w:t>。本文系统阐述该模型的网络结构、维度演算、融合机制与损失函数设计。</w:t>
      </w:r>
    </w:p>
    <w:p w14:paraId="53EB5986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关键词：</w:t>
      </w:r>
      <w:r>
        <w:rPr>
          <w:rFonts w:hint="default" w:ascii="Times New Roman" w:hAnsi="Times New Roman" w:eastAsia="宋体" w:cs="Times New Roman"/>
          <w:sz w:val="21"/>
        </w:rPr>
        <w:t>驾驶疲劳检测；脑电；眼电；跨模态注意力；门控融合；时间差分</w:t>
      </w:r>
    </w:p>
    <w:p w14:paraId="6E28F188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2"/>
        </w:rPr>
        <w:t>0  引言</w:t>
      </w:r>
    </w:p>
    <w:p w14:paraId="662D82BF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驾驶疲劳是引发交通事故的重要原因之一。在长时间驾驶过程中，驾驶员的注意力、反应能力与警觉性会随疲劳累积而下降，因此实时、可靠的疲劳检测对交通安全具有重要意义。</w:t>
      </w:r>
    </w:p>
    <w:p w14:paraId="206120E6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在各类生理信号中，脑电（EEG）直接反映大脑皮层的神经活动，被认为是疲劳检测的金标准信号；眼电（EOG）则记录眼球运动与眼睑状态，能够捕捉眨眼频率上升、眼睑下垂、慢速眼动等典型的疲劳行为特征。两者具有较强的互补性，多模态融合已成为疲劳检测的主流方向。</w:t>
      </w:r>
    </w:p>
    <w:p w14:paraId="3373C285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然而，EEG-EOG 多模态融合仍面临两个挑战：</w:t>
      </w:r>
    </w:p>
    <w:p w14:paraId="174AC8CA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（1）EOG 信号噪声问题。EOG 不仅包含与疲劳相关的眨眼、闭眼信息，也包含自主性动作（如揉眼、打哈欠、光照反射）带来的非疲劳性扰动。若将 EOG 信息无差别地融入 EEG，噪声会干扰判别。需要一种机制能够根据当前 EEG 上下文，自适应判断 EOG 信息在各个时间窗口中的可信程度。</w:t>
      </w:r>
    </w:p>
    <w:p w14:paraId="61286C35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2）疲劳的时序变化趋势建模不足。疲劳是一个渐进过程，“状态的变化趋势”往往比“状态的绝对值”更具判别力。例如，最后一段时间内状态明显下滑，即使绝对值尚未达到疲劳阈值，也已强烈暗示正在进入疲劳。现有方法多依赖最终状态表征，未显式建模相邻窗口间的变化趋势。</w:t>
      </w:r>
    </w:p>
    <w:p w14:paraId="09035991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针对上述问题，本文提出 Raw EEG-EOG Delta-Gate 模型，主要贡献包括：</w:t>
      </w:r>
    </w:p>
    <w:p w14:paraId="3A477B47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（1）设计 EEG-EOG 跨模态注意力融合机制：EEG 作为查询（Query），EOG 作为键值（Key/Value），使 EEG 按需从 EOG 中读取相关佐证，而非无差别接收；</w:t>
      </w:r>
    </w:p>
    <w:p w14:paraId="7F757469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（2）引入 EOG 门控（EOG Gate）机制：结合 EEG 上下文与 EOG 融合结果，为每个时间窗口输出一个 0~1 的可信度，自适应控制眼电信息进入强度；</w:t>
      </w:r>
    </w:p>
    <w:p w14:paraId="7C14F2F3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（3）设计时间差分（Temporal Delta）模块：显式计算最后两个窗口的状态差分，并与最终状态拼接，增强对疲劳变化趋势的建模能力；</w:t>
      </w:r>
    </w:p>
    <w:p w14:paraId="36D1060D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（4）模型同时输出二分类与 PERCLOS 回归，并支持多任务、纯分类、纯回归三种训练目标。</w:t>
      </w:r>
    </w:p>
    <w:p w14:paraId="44248C92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2"/>
        </w:rPr>
        <w:t>1  模型总体架构</w:t>
      </w:r>
    </w:p>
    <w:p w14:paraId="73F8B5B4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模型以 8 个连续 8 秒窗口（共约 64 秒）为一个样本，输入 EEG 与 EOG 两路原始信号，分别经各自的 CNN 编码器提取 token 序列；随后通过跨模态注意力将 EOG 信息按需融入 EEG；融合后的窗口序列经位置编码与时序 Transformer 建模窗口间演变；最后取末窗口状态并拼接末窗口差分，分别送入分类头与回归头。整体流程如图 1 所示。</w:t>
      </w:r>
    </w:p>
    <w:p w14:paraId="557BCD19">
      <w:pPr>
        <w:spacing w:before="8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图 1  Raw EEG-EOG Delta-Gate 模型总体流程</w:t>
      </w:r>
    </w:p>
    <w:p w14:paraId="7B7EE3F2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默认配置如表 1 所示。</w:t>
      </w:r>
    </w:p>
    <w:p w14:paraId="363018C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表 1  模型默认配置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9"/>
        <w:gridCol w:w="3059"/>
        <w:gridCol w:w="3059"/>
      </w:tblGrid>
      <w:tr w14:paraId="76AEC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59" w:type="dxa"/>
            <w:vAlign w:val="center"/>
          </w:tcPr>
          <w:p w14:paraId="52C3875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符号</w:t>
            </w:r>
          </w:p>
        </w:tc>
        <w:tc>
          <w:tcPr>
            <w:tcW w:w="3059" w:type="dxa"/>
            <w:vAlign w:val="center"/>
          </w:tcPr>
          <w:p w14:paraId="38A1FE5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含义</w:t>
            </w:r>
          </w:p>
        </w:tc>
        <w:tc>
          <w:tcPr>
            <w:tcW w:w="3059" w:type="dxa"/>
            <w:vAlign w:val="center"/>
          </w:tcPr>
          <w:p w14:paraId="590ECE7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默认值</w:t>
            </w:r>
          </w:p>
        </w:tc>
      </w:tr>
      <w:tr w14:paraId="58066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  <w:vAlign w:val="center"/>
          </w:tcPr>
          <w:p w14:paraId="59D729CC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B</w:t>
            </w:r>
          </w:p>
        </w:tc>
        <w:tc>
          <w:tcPr>
            <w:tcW w:w="3059" w:type="dxa"/>
            <w:vAlign w:val="center"/>
          </w:tcPr>
          <w:p w14:paraId="3F7276A7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批大小（batch size）</w:t>
            </w:r>
          </w:p>
        </w:tc>
        <w:tc>
          <w:tcPr>
            <w:tcW w:w="3059" w:type="dxa"/>
            <w:vAlign w:val="center"/>
          </w:tcPr>
          <w:p w14:paraId="7B807769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4</w:t>
            </w:r>
          </w:p>
        </w:tc>
      </w:tr>
      <w:tr w14:paraId="651C4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  <w:vAlign w:val="center"/>
          </w:tcPr>
          <w:p w14:paraId="5632B72C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</w:t>
            </w:r>
          </w:p>
        </w:tc>
        <w:tc>
          <w:tcPr>
            <w:tcW w:w="3059" w:type="dxa"/>
            <w:vAlign w:val="center"/>
          </w:tcPr>
          <w:p w14:paraId="41E2D0F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序列长度（窗口数）</w:t>
            </w:r>
          </w:p>
        </w:tc>
        <w:tc>
          <w:tcPr>
            <w:tcW w:w="3059" w:type="dxa"/>
            <w:vAlign w:val="center"/>
          </w:tcPr>
          <w:p w14:paraId="3558831E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8</w:t>
            </w:r>
          </w:p>
        </w:tc>
      </w:tr>
      <w:tr w14:paraId="53772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  <w:vAlign w:val="center"/>
          </w:tcPr>
          <w:p w14:paraId="4DBBD6D2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D</w:t>
            </w:r>
          </w:p>
        </w:tc>
        <w:tc>
          <w:tcPr>
            <w:tcW w:w="3059" w:type="dxa"/>
            <w:vAlign w:val="center"/>
          </w:tcPr>
          <w:p w14:paraId="072FDFF3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嵌入维度（embedding dim）</w:t>
            </w:r>
          </w:p>
        </w:tc>
        <w:tc>
          <w:tcPr>
            <w:tcW w:w="3059" w:type="dxa"/>
            <w:vAlign w:val="center"/>
          </w:tcPr>
          <w:p w14:paraId="78598E1E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64</w:t>
            </w:r>
          </w:p>
        </w:tc>
      </w:tr>
      <w:tr w14:paraId="17ED1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  <w:vAlign w:val="center"/>
          </w:tcPr>
          <w:p w14:paraId="1A5A52E6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K</w:t>
            </w:r>
          </w:p>
        </w:tc>
        <w:tc>
          <w:tcPr>
            <w:tcW w:w="3059" w:type="dxa"/>
            <w:vAlign w:val="center"/>
          </w:tcPr>
          <w:p w14:paraId="5296FF08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分类类别数</w:t>
            </w:r>
          </w:p>
        </w:tc>
        <w:tc>
          <w:tcPr>
            <w:tcW w:w="3059" w:type="dxa"/>
            <w:vAlign w:val="center"/>
          </w:tcPr>
          <w:p w14:paraId="3CD13CBB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2（binary）</w:t>
            </w:r>
          </w:p>
        </w:tc>
      </w:tr>
    </w:tbl>
    <w:p w14:paraId="20470D5F">
      <w:pPr>
        <w:spacing w:after="40"/>
        <w:rPr>
          <w:rFonts w:hint="default" w:ascii="Times New Roman" w:hAnsi="Times New Roman" w:cs="Times New Roman"/>
        </w:rPr>
      </w:pPr>
    </w:p>
    <w:p w14:paraId="1E43DD9C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总输入如表 2 所示。</w:t>
      </w:r>
    </w:p>
    <w:p w14:paraId="0A6A571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表 2  模型输入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9"/>
        <w:gridCol w:w="3059"/>
        <w:gridCol w:w="3059"/>
      </w:tblGrid>
      <w:tr w14:paraId="62ED8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  <w:vAlign w:val="center"/>
          </w:tcPr>
          <w:p w14:paraId="6A28A0A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模态</w:t>
            </w:r>
          </w:p>
        </w:tc>
        <w:tc>
          <w:tcPr>
            <w:tcW w:w="3059" w:type="dxa"/>
            <w:vAlign w:val="center"/>
          </w:tcPr>
          <w:p w14:paraId="0F6921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维度</w:t>
            </w:r>
          </w:p>
        </w:tc>
        <w:tc>
          <w:tcPr>
            <w:tcW w:w="3059" w:type="dxa"/>
            <w:vAlign w:val="center"/>
          </w:tcPr>
          <w:p w14:paraId="10EA471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实际意义</w:t>
            </w:r>
          </w:p>
        </w:tc>
      </w:tr>
      <w:tr w14:paraId="4D616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  <w:vAlign w:val="center"/>
          </w:tcPr>
          <w:p w14:paraId="7FF708B5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EEG</w:t>
            </w:r>
          </w:p>
        </w:tc>
        <w:tc>
          <w:tcPr>
            <w:tcW w:w="3059" w:type="dxa"/>
            <w:vAlign w:val="center"/>
          </w:tcPr>
          <w:p w14:paraId="643EC2CF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[B, 8, 17, 1600]</w:t>
            </w:r>
          </w:p>
        </w:tc>
        <w:tc>
          <w:tcPr>
            <w:tcW w:w="3059" w:type="dxa"/>
            <w:vAlign w:val="center"/>
          </w:tcPr>
          <w:p w14:paraId="1ECDDFF0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B 个样本；8 个连续窗口；17 个 EEG 通道；每窗口 1600 采样点（8s×200Hz）</w:t>
            </w:r>
          </w:p>
        </w:tc>
      </w:tr>
      <w:tr w14:paraId="409B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  <w:vAlign w:val="center"/>
          </w:tcPr>
          <w:p w14:paraId="2D0BF944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EOG</w:t>
            </w:r>
          </w:p>
        </w:tc>
        <w:tc>
          <w:tcPr>
            <w:tcW w:w="3059" w:type="dxa"/>
            <w:vAlign w:val="center"/>
          </w:tcPr>
          <w:p w14:paraId="273FF68E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[B, 8, 7, 1000]</w:t>
            </w:r>
          </w:p>
        </w:tc>
        <w:tc>
          <w:tcPr>
            <w:tcW w:w="3059" w:type="dxa"/>
            <w:vAlign w:val="center"/>
          </w:tcPr>
          <w:p w14:paraId="03AF03D0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B 个样本；8 个连续窗口；7 个 EOG 通道；每窗口 1000 采样点（8s×125Hz）</w:t>
            </w:r>
          </w:p>
        </w:tc>
      </w:tr>
    </w:tbl>
    <w:p w14:paraId="0D52BE5F">
      <w:pPr>
        <w:spacing w:after="40"/>
        <w:rPr>
          <w:rFonts w:hint="default" w:ascii="Times New Roman" w:hAnsi="Times New Roman" w:cs="Times New Roman"/>
        </w:rPr>
      </w:pPr>
    </w:p>
    <w:p w14:paraId="7E55E65A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2"/>
        </w:rPr>
        <w:t>6  输出与损失函数</w:t>
      </w:r>
    </w:p>
    <w:p w14:paraId="4868E5B5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8"/>
        </w:rPr>
        <w:t>6.1  双头输出</w:t>
      </w:r>
    </w:p>
    <w:p w14:paraId="0EF2269B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模型设有分类头与回归头，分别输出二分类 logits 与连续 PERCLOS 值，如表 9 所示。</w:t>
      </w:r>
    </w:p>
    <w:p w14:paraId="777B0B4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表 9  输出头维度演算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294"/>
      </w:tblGrid>
      <w:tr w14:paraId="5D7E2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  <w:vAlign w:val="center"/>
          </w:tcPr>
          <w:p w14:paraId="36225DC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输出头</w:t>
            </w:r>
          </w:p>
        </w:tc>
        <w:tc>
          <w:tcPr>
            <w:tcW w:w="2294" w:type="dxa"/>
            <w:vAlign w:val="center"/>
          </w:tcPr>
          <w:p w14:paraId="6ADD90F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输入维度</w:t>
            </w:r>
          </w:p>
        </w:tc>
        <w:tc>
          <w:tcPr>
            <w:tcW w:w="2294" w:type="dxa"/>
            <w:vAlign w:val="center"/>
          </w:tcPr>
          <w:p w14:paraId="2C56A0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输出维度</w:t>
            </w:r>
          </w:p>
        </w:tc>
        <w:tc>
          <w:tcPr>
            <w:tcW w:w="2294" w:type="dxa"/>
            <w:vAlign w:val="center"/>
          </w:tcPr>
          <w:p w14:paraId="2C7C0FB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实际意义</w:t>
            </w:r>
          </w:p>
        </w:tc>
      </w:tr>
      <w:tr w14:paraId="66F96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  <w:vAlign w:val="center"/>
          </w:tcPr>
          <w:p w14:paraId="77632ACB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Classification Linear</w:t>
            </w:r>
          </w:p>
        </w:tc>
        <w:tc>
          <w:tcPr>
            <w:tcW w:w="2294" w:type="dxa"/>
            <w:vAlign w:val="center"/>
          </w:tcPr>
          <w:p w14:paraId="55683861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[B,128]</w:t>
            </w:r>
          </w:p>
        </w:tc>
        <w:tc>
          <w:tcPr>
            <w:tcW w:w="2294" w:type="dxa"/>
            <w:vAlign w:val="center"/>
          </w:tcPr>
          <w:p w14:paraId="1229A10B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[B,2]</w:t>
            </w:r>
          </w:p>
        </w:tc>
        <w:tc>
          <w:tcPr>
            <w:tcW w:w="2294" w:type="dxa"/>
            <w:vAlign w:val="center"/>
          </w:tcPr>
          <w:p w14:paraId="2FB97547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二分类 logits</w:t>
            </w:r>
          </w:p>
        </w:tc>
      </w:tr>
      <w:tr w14:paraId="5A9F5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  <w:vAlign w:val="center"/>
          </w:tcPr>
          <w:p w14:paraId="35D0513D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Regression Linear + Sigmoid</w:t>
            </w:r>
          </w:p>
        </w:tc>
        <w:tc>
          <w:tcPr>
            <w:tcW w:w="2294" w:type="dxa"/>
            <w:vAlign w:val="center"/>
          </w:tcPr>
          <w:p w14:paraId="5A92912F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[B,128]</w:t>
            </w:r>
          </w:p>
        </w:tc>
        <w:tc>
          <w:tcPr>
            <w:tcW w:w="2294" w:type="dxa"/>
            <w:vAlign w:val="center"/>
          </w:tcPr>
          <w:p w14:paraId="57813E39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[B,1]</w:t>
            </w:r>
          </w:p>
        </w:tc>
        <w:tc>
          <w:tcPr>
            <w:tcW w:w="2294" w:type="dxa"/>
            <w:vAlign w:val="center"/>
          </w:tcPr>
          <w:p w14:paraId="5E531D0D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连续 PERCLOS，范围 [0,1]</w:t>
            </w:r>
          </w:p>
        </w:tc>
      </w:tr>
    </w:tbl>
    <w:p w14:paraId="0A27EBE9">
      <w:pPr>
        <w:spacing w:after="40"/>
        <w:rPr>
          <w:rFonts w:hint="default" w:ascii="Times New Roman" w:hAnsi="Times New Roman" w:cs="Times New Roman"/>
        </w:rPr>
      </w:pPr>
    </w:p>
    <w:p w14:paraId="4025DD69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最终输出为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417"/>
      </w:tblGrid>
      <w:tr w14:paraId="532D4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4" w:type="dxa"/>
            <w:vAlign w:val="center"/>
          </w:tcPr>
          <w:p w14:paraId="090A0DC3">
            <w:pPr>
              <w:spacing w:before="60" w:after="6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sz w:val="22"/>
              </w:rPr>
              <w:t>class_logits ∈ R</w:t>
            </w:r>
            <w:r>
              <w:rPr>
                <w:rFonts w:hint="default" w:ascii="Times New Roman" w:hAnsi="Times New Roman" w:eastAsia="宋体" w:cs="Times New Roman"/>
                <w:i w:val="0"/>
                <w:sz w:val="22"/>
                <w:vertAlign w:val="superscript"/>
              </w:rPr>
              <w:t>B×2</w:t>
            </w:r>
            <w:r>
              <w:rPr>
                <w:rFonts w:hint="default" w:ascii="Times New Roman" w:hAnsi="Times New Roman" w:eastAsia="宋体" w:cs="Times New Roman"/>
                <w:i w:val="0"/>
                <w:sz w:val="22"/>
              </w:rPr>
              <w:t>,  perclos ∈ [0,1]</w:t>
            </w:r>
            <w:r>
              <w:rPr>
                <w:rFonts w:hint="default" w:ascii="Times New Roman" w:hAnsi="Times New Roman" w:eastAsia="宋体" w:cs="Times New Roman"/>
                <w:i w:val="0"/>
                <w:sz w:val="22"/>
                <w:vertAlign w:val="superscript"/>
              </w:rPr>
              <w:t>B×1</w:t>
            </w:r>
          </w:p>
        </w:tc>
        <w:tc>
          <w:tcPr>
            <w:tcW w:w="1417" w:type="dxa"/>
            <w:vAlign w:val="center"/>
          </w:tcPr>
          <w:p w14:paraId="50F3948F">
            <w:pPr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(7)</w:t>
            </w:r>
          </w:p>
        </w:tc>
      </w:tr>
    </w:tbl>
    <w:p w14:paraId="0A5F8BF7">
      <w:pPr>
        <w:spacing w:after="40"/>
        <w:rPr>
          <w:rFonts w:hint="default" w:ascii="Times New Roman" w:hAnsi="Times New Roman" w:cs="Times New Roman"/>
        </w:rPr>
      </w:pPr>
    </w:p>
    <w:p w14:paraId="263B5644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并附带可观测的 eog_gate [B,8,1] 与 eog_attention_weights [B,8,1,125]。需说明，模型内未显式实现 Softmax，class_logits 为原始分数；Softmax 隐式发生于交叉熵损失内部，推理时若需概率需自行施加。</w:t>
      </w:r>
    </w:p>
    <w:p w14:paraId="1A9F19D9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8"/>
        </w:rPr>
        <w:t>6.2  损失函数</w:t>
      </w:r>
    </w:p>
    <w:p w14:paraId="4A43BA14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损失函数由分类损失与回归损失两部分构成：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417"/>
      </w:tblGrid>
      <w:tr w14:paraId="318BE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4" w:type="dxa"/>
            <w:vAlign w:val="center"/>
          </w:tcPr>
          <w:p w14:paraId="2232BB7D">
            <w:pPr>
              <w:spacing w:before="60" w:after="6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sz w:val="22"/>
              </w:rPr>
              <w:t>L</w:t>
            </w:r>
            <w:r>
              <w:rPr>
                <w:rFonts w:hint="default" w:ascii="Times New Roman" w:hAnsi="Times New Roman" w:eastAsia="宋体" w:cs="Times New Roman"/>
                <w:i w:val="0"/>
                <w:sz w:val="22"/>
                <w:vertAlign w:val="subscript"/>
              </w:rPr>
              <w:t>cls</w:t>
            </w:r>
            <w:r>
              <w:rPr>
                <w:rFonts w:hint="default" w:ascii="Times New Roman" w:hAnsi="Times New Roman" w:eastAsia="宋体" w:cs="Times New Roman"/>
                <w:i w:val="0"/>
                <w:sz w:val="22"/>
              </w:rPr>
              <w:t xml:space="preserve"> = CrossEntropy( class_logits , y</w:t>
            </w:r>
            <w:r>
              <w:rPr>
                <w:rFonts w:hint="default" w:ascii="Times New Roman" w:hAnsi="Times New Roman" w:eastAsia="宋体" w:cs="Times New Roman"/>
                <w:i w:val="0"/>
                <w:sz w:val="22"/>
                <w:vertAlign w:val="subscript"/>
              </w:rPr>
              <w:t>cls</w:t>
            </w:r>
            <w:r>
              <w:rPr>
                <w:rFonts w:hint="default" w:ascii="Times New Roman" w:hAnsi="Times New Roman" w:eastAsia="宋体" w:cs="Times New Roman"/>
                <w:i w:val="0"/>
                <w:sz w:val="22"/>
              </w:rPr>
              <w:t xml:space="preserve"> )</w:t>
            </w:r>
          </w:p>
        </w:tc>
        <w:tc>
          <w:tcPr>
            <w:tcW w:w="1417" w:type="dxa"/>
            <w:vAlign w:val="center"/>
          </w:tcPr>
          <w:p w14:paraId="1B39E3F7">
            <w:pPr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(8)</w:t>
            </w:r>
          </w:p>
        </w:tc>
      </w:tr>
    </w:tbl>
    <w:p w14:paraId="5F393F92">
      <w:pPr>
        <w:spacing w:after="40"/>
        <w:rPr>
          <w:rFonts w:hint="default" w:ascii="Times New Roman" w:hAnsi="Times New Roman" w:cs="Times New Roman"/>
        </w:rPr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417"/>
      </w:tblGrid>
      <w:tr w14:paraId="5988F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4" w:type="dxa"/>
            <w:vAlign w:val="center"/>
          </w:tcPr>
          <w:p w14:paraId="5B724CDD">
            <w:pPr>
              <w:spacing w:before="60" w:after="6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sz w:val="22"/>
              </w:rPr>
              <w:t>L</w:t>
            </w:r>
            <w:r>
              <w:rPr>
                <w:rFonts w:hint="default" w:ascii="Times New Roman" w:hAnsi="Times New Roman" w:eastAsia="宋体" w:cs="Times New Roman"/>
                <w:i w:val="0"/>
                <w:sz w:val="22"/>
                <w:vertAlign w:val="subscript"/>
              </w:rPr>
              <w:t>reg</w:t>
            </w:r>
            <w:r>
              <w:rPr>
                <w:rFonts w:hint="default" w:ascii="Times New Roman" w:hAnsi="Times New Roman" w:eastAsia="宋体" w:cs="Times New Roman"/>
                <w:i w:val="0"/>
                <w:sz w:val="22"/>
              </w:rPr>
              <w:t xml:space="preserve"> = SmoothL1( perclos , y</w:t>
            </w:r>
            <w:r>
              <w:rPr>
                <w:rFonts w:hint="default" w:ascii="Times New Roman" w:hAnsi="Times New Roman" w:eastAsia="宋体" w:cs="Times New Roman"/>
                <w:i w:val="0"/>
                <w:sz w:val="22"/>
                <w:vertAlign w:val="subscript"/>
              </w:rPr>
              <w:t>perclos</w:t>
            </w:r>
            <w:r>
              <w:rPr>
                <w:rFonts w:hint="default" w:ascii="Times New Roman" w:hAnsi="Times New Roman" w:eastAsia="宋体" w:cs="Times New Roman"/>
                <w:i w:val="0"/>
                <w:sz w:val="22"/>
              </w:rPr>
              <w:t xml:space="preserve"> )</w:t>
            </w:r>
          </w:p>
        </w:tc>
        <w:tc>
          <w:tcPr>
            <w:tcW w:w="1417" w:type="dxa"/>
            <w:vAlign w:val="center"/>
          </w:tcPr>
          <w:p w14:paraId="50D37F40">
            <w:pPr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(9)</w:t>
            </w:r>
          </w:p>
        </w:tc>
      </w:tr>
    </w:tbl>
    <w:p w14:paraId="6231F3A4">
      <w:pPr>
        <w:spacing w:after="40"/>
        <w:rPr>
          <w:rFonts w:hint="default" w:ascii="Times New Roman" w:hAnsi="Times New Roman" w:cs="Times New Roman"/>
        </w:rPr>
      </w:pPr>
    </w:p>
    <w:p w14:paraId="465751B6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其中分类损失内部含 Softmax，对未正确分类的罚分随正确类别概率降低而升高；回归损失 SmoothL1 在误差较大时按线性惩罚、误差较小时按平方惩罚，兼顾稳健性与收敛速度。依据训练目标 objective，总损失为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417"/>
      </w:tblGrid>
      <w:tr w14:paraId="360FB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4" w:type="dxa"/>
            <w:vAlign w:val="center"/>
          </w:tcPr>
          <w:p w14:paraId="63679077">
            <w:pPr>
              <w:spacing w:before="60" w:after="6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sz w:val="22"/>
              </w:rPr>
              <w:t>L = L_cls  (classification)</w:t>
            </w:r>
          </w:p>
        </w:tc>
        <w:tc>
          <w:tcPr>
            <w:tcW w:w="1417" w:type="dxa"/>
            <w:vAlign w:val="center"/>
          </w:tcPr>
          <w:p w14:paraId="46D1F58F">
            <w:pPr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(10)</w:t>
            </w:r>
          </w:p>
        </w:tc>
      </w:tr>
    </w:tbl>
    <w:p w14:paraId="68D33900">
      <w:pPr>
        <w:spacing w:after="40"/>
        <w:rPr>
          <w:rFonts w:hint="default" w:ascii="Times New Roman" w:hAnsi="Times New Roman" w:cs="Times New Roman"/>
        </w:rPr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417"/>
      </w:tblGrid>
      <w:tr w14:paraId="34B73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4" w:type="dxa"/>
            <w:vAlign w:val="center"/>
          </w:tcPr>
          <w:p w14:paraId="69984874">
            <w:pPr>
              <w:spacing w:before="60" w:after="6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sz w:val="22"/>
              </w:rPr>
              <w:t>L = L_reg  (regression)</w:t>
            </w:r>
          </w:p>
        </w:tc>
        <w:tc>
          <w:tcPr>
            <w:tcW w:w="1417" w:type="dxa"/>
            <w:vAlign w:val="center"/>
          </w:tcPr>
          <w:p w14:paraId="67C9B097">
            <w:pPr>
              <w:jc w:val="right"/>
              <w:rPr>
                <w:rFonts w:hint="default" w:ascii="Times New Roman" w:hAnsi="Times New Roman" w:cs="Times New Roman"/>
              </w:rPr>
            </w:pPr>
          </w:p>
        </w:tc>
      </w:tr>
    </w:tbl>
    <w:p w14:paraId="2F823174">
      <w:pPr>
        <w:spacing w:after="40"/>
        <w:rPr>
          <w:rFonts w:hint="default" w:ascii="Times New Roman" w:hAnsi="Times New Roman" w:cs="Times New Roman"/>
        </w:rPr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417"/>
      </w:tblGrid>
      <w:tr w14:paraId="7C365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4" w:type="dxa"/>
            <w:vAlign w:val="center"/>
          </w:tcPr>
          <w:p w14:paraId="6EA93F5D">
            <w:pPr>
              <w:spacing w:before="60" w:after="6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sz w:val="22"/>
              </w:rPr>
              <w:t>L = L_cls + λ · L_reg  (multitask)</w:t>
            </w:r>
          </w:p>
        </w:tc>
        <w:tc>
          <w:tcPr>
            <w:tcW w:w="1417" w:type="dxa"/>
            <w:vAlign w:val="center"/>
          </w:tcPr>
          <w:p w14:paraId="2557F759">
            <w:pPr>
              <w:jc w:val="right"/>
              <w:rPr>
                <w:rFonts w:hint="default" w:ascii="Times New Roman" w:hAnsi="Times New Roman" w:cs="Times New Roman"/>
              </w:rPr>
            </w:pPr>
          </w:p>
        </w:tc>
      </w:tr>
    </w:tbl>
    <w:p w14:paraId="349E5254">
      <w:pPr>
        <w:spacing w:after="40"/>
        <w:rPr>
          <w:rFonts w:hint="default" w:ascii="Times New Roman" w:hAnsi="Times New Roman" w:cs="Times New Roman"/>
        </w:rPr>
      </w:pPr>
    </w:p>
    <w:p w14:paraId="2AC5116B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其中 λ 为回归权重（默认 0.5）。多任务模式下两任务共享底层特征、相互借力，通常优于单独训练；单任务模式则可使模型全力优化单一目标。λ 用于平衡两损失项的量级与相对重要程度。</w:t>
      </w:r>
    </w:p>
    <w:p w14:paraId="4E0ED5BF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训练采用 AdamW 优化器，单步流程为：前向预测 → 损失计算 → 梯度清零 → 反向传播 → 参数更新。</w:t>
      </w:r>
    </w:p>
    <w:p w14:paraId="7588207F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2"/>
        </w:rPr>
        <w:t>7  实验设置</w:t>
      </w:r>
    </w:p>
    <w:p w14:paraId="646B1F25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8"/>
        </w:rPr>
        <w:t>7.1  数据集</w:t>
      </w:r>
    </w:p>
    <w:p w14:paraId="30C4321A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实验基于 SEED-VIG 公开疲劳数据集。EEG 采样率为 200Hz、17 通道；EOG 采样率为 125Hz、7 通道。每 8 秒为一个窗口，连续 8 个窗口构成一个 64 秒样本。标签为 PERCLOS 连续值，并按阈值 0.35 映射为二分类（awake / fatigue），按 0.35 与 0.70 映射为三分类。</w:t>
      </w:r>
    </w:p>
    <w:p w14:paraId="3425FBC3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8"/>
        </w:rPr>
        <w:t>7.2  训练设置</w:t>
      </w:r>
    </w:p>
    <w:p w14:paraId="78BF2CCC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主要超参数如表 10 所示。</w:t>
      </w:r>
    </w:p>
    <w:p w14:paraId="3FC45F4C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表 10  训练超参数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2632A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70FD3E1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超参数</w:t>
            </w:r>
          </w:p>
        </w:tc>
        <w:tc>
          <w:tcPr>
            <w:tcW w:w="4589" w:type="dxa"/>
            <w:vAlign w:val="center"/>
          </w:tcPr>
          <w:p w14:paraId="4186E1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1"/>
              </w:rPr>
              <w:t>取值</w:t>
            </w:r>
          </w:p>
        </w:tc>
      </w:tr>
      <w:tr w14:paraId="7E6FB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4E4E2DCA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序列长度 T</w:t>
            </w:r>
          </w:p>
        </w:tc>
        <w:tc>
          <w:tcPr>
            <w:tcW w:w="4589" w:type="dxa"/>
            <w:vAlign w:val="center"/>
          </w:tcPr>
          <w:p w14:paraId="2604EED3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8</w:t>
            </w:r>
          </w:p>
        </w:tc>
      </w:tr>
      <w:tr w14:paraId="583A3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3697DC63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批大小 B</w:t>
            </w:r>
          </w:p>
        </w:tc>
        <w:tc>
          <w:tcPr>
            <w:tcW w:w="4589" w:type="dxa"/>
            <w:vAlign w:val="center"/>
          </w:tcPr>
          <w:p w14:paraId="7E55F0F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4</w:t>
            </w:r>
          </w:p>
        </w:tc>
      </w:tr>
      <w:tr w14:paraId="0DCD6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3343FB38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嵌入维度 D</w:t>
            </w:r>
          </w:p>
        </w:tc>
        <w:tc>
          <w:tcPr>
            <w:tcW w:w="4589" w:type="dxa"/>
            <w:vAlign w:val="center"/>
          </w:tcPr>
          <w:p w14:paraId="509FB531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64</w:t>
            </w:r>
          </w:p>
        </w:tc>
      </w:tr>
      <w:tr w14:paraId="5D949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0AD85946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注意力头数</w:t>
            </w:r>
          </w:p>
        </w:tc>
        <w:tc>
          <w:tcPr>
            <w:tcW w:w="4589" w:type="dxa"/>
            <w:vAlign w:val="center"/>
          </w:tcPr>
          <w:p w14:paraId="612DBB9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4</w:t>
            </w:r>
          </w:p>
        </w:tc>
      </w:tr>
      <w:tr w14:paraId="5F0EF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133B2C40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Window Transformer 层数</w:t>
            </w:r>
          </w:p>
        </w:tc>
        <w:tc>
          <w:tcPr>
            <w:tcW w:w="4589" w:type="dxa"/>
            <w:vAlign w:val="center"/>
          </w:tcPr>
          <w:p w14:paraId="4E5C169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</w:t>
            </w:r>
          </w:p>
        </w:tc>
      </w:tr>
      <w:tr w14:paraId="02065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0FD725BE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Temporal Transformer 层数</w:t>
            </w:r>
          </w:p>
        </w:tc>
        <w:tc>
          <w:tcPr>
            <w:tcW w:w="4589" w:type="dxa"/>
            <w:vAlign w:val="center"/>
          </w:tcPr>
          <w:p w14:paraId="1A534AA9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</w:t>
            </w:r>
          </w:p>
        </w:tc>
      </w:tr>
      <w:tr w14:paraId="299D6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69716922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学习率</w:t>
            </w:r>
          </w:p>
        </w:tc>
        <w:tc>
          <w:tcPr>
            <w:tcW w:w="4589" w:type="dxa"/>
            <w:vAlign w:val="center"/>
          </w:tcPr>
          <w:p w14:paraId="3682A635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1×10⁻³</w:t>
            </w:r>
          </w:p>
        </w:tc>
      </w:tr>
      <w:tr w14:paraId="2B5C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24BDCAA6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训练轮数</w:t>
            </w:r>
          </w:p>
        </w:tc>
        <w:tc>
          <w:tcPr>
            <w:tcW w:w="4589" w:type="dxa"/>
            <w:vAlign w:val="center"/>
          </w:tcPr>
          <w:p w14:paraId="71DDBAE0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20</w:t>
            </w:r>
          </w:p>
        </w:tc>
      </w:tr>
      <w:tr w14:paraId="760FB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40EEE461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优化器</w:t>
            </w:r>
          </w:p>
        </w:tc>
        <w:tc>
          <w:tcPr>
            <w:tcW w:w="4589" w:type="dxa"/>
            <w:vAlign w:val="center"/>
          </w:tcPr>
          <w:p w14:paraId="6B6DC384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AdamW</w:t>
            </w:r>
          </w:p>
        </w:tc>
      </w:tr>
    </w:tbl>
    <w:p w14:paraId="31EE301A">
      <w:pPr>
        <w:spacing w:after="40"/>
        <w:rPr>
          <w:rFonts w:hint="default" w:ascii="Times New Roman" w:hAnsi="Times New Roman" w:cs="Times New Roman"/>
        </w:rPr>
      </w:pPr>
    </w:p>
    <w:p w14:paraId="73124AA1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8"/>
        </w:rPr>
        <w:t>7.3  评估指标与划分策略</w:t>
      </w:r>
    </w:p>
    <w:p w14:paraId="30041681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划分策略包括实验内 5 折交叉验证（within_experiment_5fold）与按被试分组（group_subject）。评估指标包括准确率（accuracy）、宏 F1（macro F1）、平衡准确率（balanced accuracy）用于分类，平均绝对误差（MAE）、均方根误差（RMSE）、皮尔逊相关系数（Pearson）用于回归。</w:t>
      </w:r>
    </w:p>
    <w:p w14:paraId="1548F99D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8"/>
        </w:rPr>
        <w:t>7.4  消融设计</w:t>
      </w:r>
    </w:p>
    <w:p w14:paraId="51006982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为验证各模块贡献，设计三组对照实验：</w:t>
      </w:r>
    </w:p>
    <w:p w14:paraId="3F32D395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（1）EEG-only：仅使用 EEG，不使用跨模态注意力；</w:t>
      </w:r>
    </w:p>
    <w:p w14:paraId="27C63799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（2）EOG-only：仅使用 EOG，不使用跨模态注意力；</w:t>
      </w:r>
    </w:p>
    <w:p w14:paraId="17879F97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（3）EEG-EOG Delta-Gate：同时使用跨模态注意力、时间差分与门控（EOG dropout = 0.25）。</w:t>
      </w:r>
    </w:p>
    <w:p w14:paraId="3A721D42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8"/>
        </w:rPr>
        <w:t>7.5  实验结果与分析</w:t>
      </w:r>
      <w:bookmarkStart w:id="0" w:name="_GoBack"/>
      <w:bookmarkEnd w:id="0"/>
    </w:p>
    <w:p w14:paraId="2736C3DD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待补充。</w:t>
      </w:r>
      <w:r>
        <w:rPr>
          <w:rFonts w:hint="default" w:ascii="Times New Roman" w:hAnsi="Times New Roman" w:eastAsia="宋体" w:cs="Times New Roman"/>
          <w:sz w:val="24"/>
        </w:rPr>
        <w:t>本文为初稿，实验结果（各模型在各指标上的具体数值、消融对比、统计显著性分析）将在正式版本中补充，本文不包含任何未经实际运行得出的结果数据。</w:t>
      </w:r>
    </w:p>
    <w:p w14:paraId="41F28F82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2"/>
        </w:rPr>
        <w:t>8  结论</w:t>
      </w:r>
    </w:p>
    <w:p w14:paraId="278B9F08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本文提出一种基于脑电与眼电跨模态门控融合的驾驶疲劳检测模型。该模型以 EEG 为主干提取时序表征，通过跨模态注意力使 EEG 按需从 EOG 中读取佐证信息，并引入门控机制自适应控制眼电信息进入强度，有效缓解了 EOG 噪声问题；时间差分模块显式建模末窗口状态变化趋势，增强了对疲劳渐进过程的刻画能力。模型同时输出二分类与连续 PERCLOS，并支持多任务、纯分类、纯回归三种训练目标。后续工作将补充完整实验结果与消融分析，以验证各模块的有效性。</w:t>
      </w:r>
    </w:p>
    <w:p w14:paraId="1EA03323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2"/>
        </w:rPr>
        <w:t>参考文献</w:t>
      </w:r>
    </w:p>
    <w:p w14:paraId="28D41DEE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待补充。</w:t>
      </w:r>
      <w:r>
        <w:rPr>
          <w:rFonts w:hint="default" w:ascii="Times New Roman" w:hAnsi="Times New Roman" w:eastAsia="宋体" w:cs="Times New Roman"/>
          <w:sz w:val="24"/>
        </w:rPr>
        <w:t>初稿参考文献将在正式版本中补全，预计包括：SEED-VIG 数据集文献、EEG/EOG 疲劳检测相关研究、Conformer 与 Transformer 相关文献、跨模态注意力与门控融合相关方法、多任务学习相关方法等。</w:t>
      </w:r>
    </w:p>
    <w:sectPr>
      <w:pgSz w:w="12240" w:h="15840"/>
      <w:pgMar w:top="1417" w:right="1531" w:bottom="1417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26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5456</Words>
  <Characters>9068</Characters>
  <Lines>0</Lines>
  <Paragraphs>0</Paragraphs>
  <TotalTime>9</TotalTime>
  <ScaleCrop>false</ScaleCrop>
  <LinksUpToDate>false</LinksUpToDate>
  <CharactersWithSpaces>10067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13</cp:lastModifiedBy>
  <dcterms:modified xsi:type="dcterms:W3CDTF">2026-07-11T10:08:48Z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eyJoZGlkIjoiYzA5YzJlZWU0NmExMWI1MWJlOTY5ZmI5ZGViM2U3MzIiLCJ1c2VySWQiOiIxMDU2MTQxODY0In0=</vt:lpwstr>
  </property>
  <property fmtid="{D5CDD505-2E9C-101B-9397-08002B2CF9AE}" pid="3" name="KSOProductBuildVer">
    <vt:lpwstr>2052-12.1.0.26895</vt:lpwstr>
  </property>
  <property fmtid="{D5CDD505-2E9C-101B-9397-08002B2CF9AE}" pid="4" name="ICV">
    <vt:lpwstr>CE44C5057562488CAB5D345917A1C4C1_12</vt:lpwstr>
  </property>
</Properties>
</file>