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黑体"/>
          <w:b/>
          <w:sz w:val="36"/>
        </w:rPr>
        <w:t>基于脑电与眼电跨模态门控融合的驾驶疲劳检测方法</w:t>
      </w:r>
    </w:p>
    <w:p>
      <w:pPr>
        <w:spacing w:after="120"/>
        <w:jc w:val="center"/>
      </w:pPr>
      <w:r>
        <w:rPr>
          <w:rFonts w:ascii="Times New Roman" w:hAnsi="Times New Roman" w:eastAsia="宋体"/>
          <w:b/>
          <w:sz w:val="24"/>
        </w:rPr>
        <w:t>A Driving Fatigue Detection Method Based on Cross-Modal Gated Fusion of EEG and EOG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t>[作者待补充]</w:t>
      </w:r>
    </w:p>
    <w:p>
      <w:pPr>
        <w:spacing w:after="40"/>
        <w:jc w:val="center"/>
      </w:pPr>
      <w:r>
        <w:rPr>
          <w:rFonts w:ascii="Times New Roman" w:hAnsi="Times New Roman" w:eastAsia="宋体"/>
          <w:sz w:val="18"/>
        </w:rPr>
        <w:t>（[单位待补充]，[城市] [邮编]）</w:t>
      </w:r>
    </w:p>
    <w:p>
      <w:pPr>
        <w:spacing w:before="120"/>
      </w:pPr>
      <w:r>
        <w:rPr>
          <w:rFonts w:ascii="Times New Roman" w:hAnsi="Times New Roman" w:eastAsia="黑体"/>
          <w:b/>
          <w:sz w:val="21"/>
        </w:rPr>
        <w:t>摘要：</w:t>
      </w:r>
      <w:r>
        <w:rPr>
          <w:rFonts w:ascii="Times New Roman" w:hAnsi="Times New Roman" w:eastAsia="宋体"/>
          <w:sz w:val="21"/>
        </w:rPr>
        <w:t>驾驶疲劳检测是保障交通安全的重要课题。脑电（EEG）信号直接反映大脑生理状态，是疲劳检测的金标准信号；眼电（EOG）信号则能捕捉眨眼、闭眼、眼球运动等与困意强相关的行为特征。然而，EOG 信号易受自主性动作（如揉眼、光照反射）干扰，直接融合会引入噪声。针对这一问题，本文提出一种基于脑电与眼电跨模态门控融合的驾驶疲劳检测模型（Raw EEG-EOG Delta-Gate）。该模型以 EEG 为主干提取时序表征，通过跨模态注意力（Cross-Attention）使 EEG 按需从 EOG 中读取佐证信息，并引入门控机制（EOG Gate）自适应控制每个时间窗口中眼电信息的进入强度；同时设计时间差分模块（Temporal Delta）显式建模最后两个窗口之间的状态变化趋势。模型以连续 PERCLOS 回归为主任务，同时输出阈值化二分类指标，并支持多任务、纯分类、纯回归三种训练目标。在 SEED-VIG 数据集严格跨被试（group-subject）协议下的实验表明，Delta-Gate 模型取得准确率 0.8233、宏 F1 0.7995、平衡准确率 0.7977、RMSE 0.1483、Pearson 0.8406；与 EOG-only 强基线相比，Delta-Gate 在分类工程指标上略有提升，回归指标基本持平，验证了多模态门控融合的合理性与 EOG 作为 PERCLOS 强代理信号的事实。</w:t>
      </w:r>
    </w:p>
    <w:p>
      <w:r>
        <w:rPr>
          <w:rFonts w:ascii="Times New Roman" w:hAnsi="Times New Roman" w:eastAsia="黑体"/>
          <w:b/>
          <w:sz w:val="21"/>
        </w:rPr>
        <w:t>关键词：</w:t>
      </w:r>
      <w:r>
        <w:rPr>
          <w:rFonts w:ascii="Times New Roman" w:hAnsi="Times New Roman" w:eastAsia="宋体"/>
          <w:sz w:val="21"/>
        </w:rPr>
        <w:t>驾驶疲劳检测；脑电；眼电；跨模态注意力；门控融合；时间差分；PERCLOS</w:t>
      </w:r>
    </w:p>
    <w:p>
      <w:pPr>
        <w:spacing w:before="120"/>
      </w:pPr>
      <w:r>
        <w:rPr>
          <w:rFonts w:ascii="Times New Roman" w:hAnsi="Times New Roman" w:eastAsia="宋体"/>
          <w:b/>
          <w:sz w:val="21"/>
        </w:rPr>
        <w:t xml:space="preserve">Abstract: </w:t>
      </w:r>
      <w:r>
        <w:rPr>
          <w:rFonts w:ascii="Times New Roman" w:hAnsi="Times New Roman" w:eastAsia="宋体"/>
          <w:sz w:val="21"/>
        </w:rPr>
        <w:t>Driving fatigue detection is critical for traffic safety. EEG directly reflects brain physiological states and serves as the gold standard, while EOG captures drowsiness-related behaviors such as blinking and eye closure. However, EOG is easily contaminated by voluntary artifacts, and naive fusion introduces noise. This paper proposes a Raw EEG-EOG Delta-Gate model based on cross-modal gated fusion. EEG serves as the backbone for temporal representation; cross-attention lets EEG read corroborating evidence from EOG on demand; an EOG Gate adaptively controls how much EOG information enters each window; a Temporal Delta module explicitly models the state-change trend between the last two windows. The model uses continuous PERCLOS regression as the primary task and supports multitask, classification-only, and regression-only objectives. On SEED-VIG under a strict group-subject protocol, the Delta-Gate model achieves accuracy 0.8233, macro-F1 0.7995, balanced accuracy 0.7977, RMSE 0.1483, and Pearson 0.8406. Compared with the strong EOG-only baseline, Delta-Gate shows a slight gain on classification metrics and parity on regression, confirming the rationale of gated fusion and the strong-proxy role of EOG for PERCLOS.</w:t>
      </w:r>
    </w:p>
    <w:p>
      <w:r>
        <w:rPr>
          <w:rFonts w:ascii="Times New Roman" w:hAnsi="Times New Roman" w:eastAsia="宋体"/>
          <w:b/>
          <w:sz w:val="21"/>
        </w:rPr>
        <w:t xml:space="preserve">Keywords: </w:t>
      </w:r>
      <w:r>
        <w:rPr>
          <w:rFonts w:ascii="Times New Roman" w:hAnsi="Times New Roman" w:eastAsia="宋体"/>
          <w:sz w:val="21"/>
        </w:rPr>
        <w:t>driving fatigue detection; EEG; EOG; cross-modal attention; gated fusion; temporal delta; PERCLOS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1  引言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驾驶疲劳是引发交通事故的重要原因之一。在长时间驾驶过程中，驾驶员的注意力、反应能力与警觉性会随疲劳累积而下降，因此实时、可靠的疲劳检测对交通安全具有重要意义。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在各类生理信号中，脑电（EEG）直接反映大脑皮层的神经活动，被认为是疲劳检测的金标准信号；眼电（EOG）则记录眼球运动与眼睑状态，能够捕捉眨眼频率上升、眼睑下垂、慢速眼动等典型的疲劳行为特征。两者具有较强的互补性，多模态融合已成为疲劳检测的主流方向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然而，EEG-EOG 多模态融合仍面临两个挑战：</w:t>
      </w:r>
    </w:p>
    <w:p>
      <w:pPr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（1）EOG 信号噪声问题。</w:t>
      </w:r>
      <w:r>
        <w:rPr>
          <w:rFonts w:ascii="Times New Roman" w:hAnsi="Times New Roman" w:eastAsia="宋体"/>
          <w:sz w:val="24"/>
        </w:rPr>
        <w:t>EOG 不仅包含与疲劳相关的眨眼、闭眼信息，也包含自主性动作（如揉眼、打哈欠、光照反射）带来的非疲劳性扰动。若将 EOG 信息无差别地融入 EEG，噪声会干扰判别。需要一种机制能够根据当前 EEG 上下文，自适应判断 EOG 信息在各个时间窗口中的可信程度。</w:t>
      </w:r>
    </w:p>
    <w:p>
      <w:pPr>
        <w:spacing w:line="360" w:lineRule="auto" w:after="60"/>
      </w:pPr>
      <w:r>
        <w:rPr>
          <w:rFonts w:ascii="Times New Roman" w:hAnsi="Times New Roman" w:eastAsia="宋体"/>
          <w:b/>
          <w:sz w:val="24"/>
        </w:rPr>
        <w:t>（2）疲劳的时序变化趋势建模不足。</w:t>
      </w:r>
      <w:r>
        <w:rPr>
          <w:rFonts w:ascii="Times New Roman" w:hAnsi="Times New Roman" w:eastAsia="宋体"/>
          <w:sz w:val="24"/>
        </w:rPr>
        <w:t>疲劳是一个渐进过程，“状态的变化趋势”往往比“状态的绝对值”更具判别力。例如，最后一段时间内状态明显下滑，即使绝对值尚未达到疲劳阈值，也已强烈暗示正在进入疲劳。现有方法多依赖最终状态表征，未显式建模相邻窗口间的变化趋势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针对上述问题，本文提出 Raw EEG-EOG Delta-Gate 模型，主要贡献如下：</w:t>
      </w:r>
    </w:p>
    <w:p>
      <w:pPr>
        <w:spacing w:line="360" w:lineRule="auto" w:after="60"/>
      </w:pPr>
      <w:r>
        <w:rPr>
          <w:rFonts w:ascii="Times New Roman" w:hAnsi="Times New Roman" w:eastAsia="宋体"/>
          <w:sz w:val="24"/>
        </w:rPr>
        <w:t>（1）设计 EEG-EOG 跨模态注意力融合机制：EEG 作为查询（Query），EOG 作为键值（Key/Value），使 EEG 按需从 EOG 中读取相关佐证，而非无差别接收；</w:t>
      </w:r>
    </w:p>
    <w:p>
      <w:pPr>
        <w:spacing w:line="360" w:lineRule="auto" w:after="60"/>
      </w:pPr>
      <w:r>
        <w:rPr>
          <w:rFonts w:ascii="Times New Roman" w:hAnsi="Times New Roman" w:eastAsia="宋体"/>
          <w:sz w:val="24"/>
        </w:rPr>
        <w:t>（2）引入 EOG 门控机制：结合 EEG 上下文与 EOG 融合结果，为每个时间窗口输出一个 0~1 的可信度，自适应控制眼电信息进入强度；</w:t>
      </w:r>
    </w:p>
    <w:p>
      <w:pPr>
        <w:spacing w:line="360" w:lineRule="auto" w:after="60"/>
      </w:pPr>
      <w:r>
        <w:rPr>
          <w:rFonts w:ascii="Times New Roman" w:hAnsi="Times New Roman" w:eastAsia="宋体"/>
          <w:sz w:val="24"/>
        </w:rPr>
        <w:t>（3）设计时间差分模块：显式计算最后两个窗口的状态差分，并与最终状态拼接，增强对疲劳变化趋势的建模能力；</w:t>
      </w:r>
    </w:p>
    <w:p>
      <w:pPr>
        <w:spacing w:line="360" w:lineRule="auto" w:after="60"/>
      </w:pPr>
      <w:r>
        <w:rPr>
          <w:rFonts w:ascii="Times New Roman" w:hAnsi="Times New Roman" w:eastAsia="宋体"/>
          <w:sz w:val="24"/>
        </w:rPr>
        <w:t>（4）在 SEED-VIG 数据集严格跨被试协议下进行系统实验，并诚实报告 EOG-only 强基线现象。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2  模型总体架构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模型以 8 个连续 8 秒窗口（共约 64 秒）为一个样本，输入 EEG 与 EOG 两路原始信号，分别经各自的 CNN 编码器提取 token 序列；随后通过跨模态注意力将 EOG 信息按需融入 EEG；融合后的窗口序列经位置编码与时序 Transformer 建模窗口间演变；最后取末窗口状态并拼接末窗口差分，分别送入分类头与回归头。整体流程如图 1 所示。</w:t>
      </w:r>
    </w:p>
    <w:p>
      <w:pPr>
        <w:spacing w:before="80" w:after="40"/>
        <w:jc w:val="center"/>
      </w:pPr>
      <w:r>
        <w:rPr>
          <w:rFonts w:ascii="Times New Roman" w:hAnsi="Times New Roman" w:eastAsia="黑体"/>
          <w:b/>
          <w:sz w:val="21"/>
        </w:rPr>
        <w:t>图 1  Raw EEG-EOG Delta-Gate 模型总体流程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模型默认配置如表 1 所示。其中 B 为批大小，T 为序列长度（窗口数），D 为嵌入维度，K 为分类类别数。EEG 输入维度为 R^(B×T×17×1600)（17 通道、每窗口 1600 采样点，8s×200Hz）；EOG 输入维度为 R^(B×T×7×1000)（7 通道、每窗口 1000 采样点，8s×125Hz）。</w:t>
      </w:r>
    </w:p>
    <w:p>
      <w:pPr>
        <w:spacing w:before="80" w:after="40"/>
        <w:jc w:val="center"/>
      </w:pPr>
      <w:r>
        <w:rPr>
          <w:rFonts w:ascii="Times New Roman" w:hAnsi="Times New Roman" w:eastAsia="黑体"/>
          <w:b/>
          <w:sz w:val="21"/>
        </w:rPr>
        <w:t>表 1  模型默认配置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305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符号</w:t>
            </w:r>
          </w:p>
        </w:tc>
        <w:tc>
          <w:tcPr>
            <w:tcW w:type="dxa" w:w="305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含义</w:t>
            </w:r>
          </w:p>
        </w:tc>
        <w:tc>
          <w:tcPr>
            <w:tcW w:type="dxa" w:w="305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默认值</w:t>
            </w:r>
          </w:p>
        </w:tc>
      </w:tr>
      <w:tr>
        <w:tc>
          <w:tcPr>
            <w:tcW w:type="dxa" w:w="305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sz w:val="20"/>
              </w:rPr>
              <w:t>B</w:t>
            </w:r>
          </w:p>
        </w:tc>
        <w:tc>
          <w:tcPr>
            <w:tcW w:type="dxa" w:w="305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批大小（batch size）</w:t>
            </w:r>
          </w:p>
        </w:tc>
        <w:tc>
          <w:tcPr>
            <w:tcW w:type="dxa" w:w="305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</w:tr>
      <w:tr>
        <w:tc>
          <w:tcPr>
            <w:tcW w:type="dxa" w:w="305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sz w:val="20"/>
              </w:rPr>
              <w:t>T</w:t>
            </w:r>
          </w:p>
        </w:tc>
        <w:tc>
          <w:tcPr>
            <w:tcW w:type="dxa" w:w="305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序列长度（窗口数）</w:t>
            </w:r>
          </w:p>
        </w:tc>
        <w:tc>
          <w:tcPr>
            <w:tcW w:type="dxa" w:w="305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8</w:t>
            </w:r>
          </w:p>
        </w:tc>
      </w:tr>
      <w:tr>
        <w:tc>
          <w:tcPr>
            <w:tcW w:type="dxa" w:w="305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sz w:val="20"/>
              </w:rPr>
              <w:t>D</w:t>
            </w:r>
          </w:p>
        </w:tc>
        <w:tc>
          <w:tcPr>
            <w:tcW w:type="dxa" w:w="305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嵌入维度（embedding dim）</w:t>
            </w:r>
          </w:p>
        </w:tc>
        <w:tc>
          <w:tcPr>
            <w:tcW w:type="dxa" w:w="305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64</w:t>
            </w:r>
          </w:p>
        </w:tc>
      </w:tr>
      <w:tr>
        <w:tc>
          <w:tcPr>
            <w:tcW w:type="dxa" w:w="305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sz w:val="20"/>
              </w:rPr>
              <w:t>K</w:t>
            </w:r>
          </w:p>
        </w:tc>
        <w:tc>
          <w:tcPr>
            <w:tcW w:type="dxa" w:w="305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分类类别数</w:t>
            </w:r>
          </w:p>
        </w:tc>
        <w:tc>
          <w:tcPr>
            <w:tcW w:type="dxa" w:w="305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2（binary）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Times New Roman" w:hAnsi="Times New Roman" w:eastAsia="黑体"/>
          <w:b/>
          <w:sz w:val="26"/>
        </w:rPr>
        <w:t>2.1  EEG 分支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EEG 分支将每段 8 秒原始脑电波浓缩为一个 D 维窗口表征。原始 EEG 经 Reshape 为 [B·T, 1, 17, 1600] 后输入 CNN Patch Encoder。该编码器由时域卷积、通道卷积、逐点卷积、批归一化、GELU 激活与平均池化组成，其输出 token 数由卷积输出尺寸决定：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54"/>
        <w:gridCol w:w="1417"/>
      </w:tblGrid>
      <w:tr>
        <w:tc>
          <w:tcPr>
            <w:tcW w:type="dxa" w:w="765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onsolas" w:hAnsi="Consolas" w:eastAsia="宋体"/>
                <w:sz w:val="22"/>
              </w:rPr>
              <w:t>$L_{out} = \lfloor (L_{in} + 2\cdot pad - kernel) / stride \rfloor + 1$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2"/>
              </w:rPr>
              <w:t>(1)</w:t>
            </w:r>
          </w:p>
        </w:tc>
      </w:tr>
    </w:tbl>
    <w:p>
      <w:pPr>
        <w:spacing w:after="40"/>
      </w:pP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其中第 4 层使用高度为 17 的卷积核，将 17 个电极位置在空间维度压扁为 1；最后一层平均池化以步长 8 将时间轴压缩，由式 (1) 得 L_out = ⌊(1602−8)/8⌋+1 = 200。最终经维度变换得到 [B·T, 200, D]，即每窗口 200 个 D 维 token。token 经 Window Transformer 进行窗口内自注意力建模后，平均池化为一个 D 维窗口表征，8 个窗口排成 [B, T, D]。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6"/>
        </w:rPr>
        <w:t>2.2  EOG 分支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EOG 分支结构与 EEG 相似，但因采样率（125Hz）与通道数（7）不同而使用独立的 CNN 编码器，输出 [B·T, 125, D]，即每窗口 125 个 token。关键区别在于：EOG 分支不使用 Transformer，也不做平均池化，而是保留为 token 序列形式，作为后续跨模态注意力的键值。若对 EOG 施加 Transformer 与平均池化，125 个 token 将坍缩为单个向量，跨模态注意力的键值长度退化为 1，“按需挑选”能力丧失，与门控机制功能重复。因此保留 token 序列是使跨模态注意力具有意义的前提。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6"/>
        </w:rPr>
        <w:t>2.3  EEG-EOG 跨模态注意力融合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跨模态注意力以 EEG 窗口表征为查询、EOG token 为键值，使 EEG 主动从 EOG 中按需读取佐证信息：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54"/>
        <w:gridCol w:w="1417"/>
      </w:tblGrid>
      <w:tr>
        <w:tc>
          <w:tcPr>
            <w:tcW w:type="dxa" w:w="765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onsolas" w:hAnsi="Consolas" w:eastAsia="宋体"/>
                <w:sz w:val="22"/>
              </w:rPr>
              <w:t>$E_{att} = \mathrm{softmax}(Q K^{\top} / \sqrt{d_k})\, V,\quad Q=E_{EEG},\; K=V=E_{EOG}$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2"/>
              </w:rPr>
              <w:t>(2)</w:t>
            </w:r>
          </w:p>
        </w:tc>
      </w:tr>
    </w:tbl>
    <w:p>
      <w:pPr>
        <w:spacing w:after="40"/>
      </w:pP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其中 Q ∈ R^(1×D)（每窗口一个查询），K, V ∈ R^(125×D)，d_k = D。随后引入 EOG 门控，结合 EEG 表征与注意力输出，为每个窗口输出一个 0~1 的可信度：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54"/>
        <w:gridCol w:w="1417"/>
      </w:tblGrid>
      <w:tr>
        <w:tc>
          <w:tcPr>
            <w:tcW w:type="dxa" w:w="765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onsolas" w:hAnsi="Consolas" w:eastAsia="宋体"/>
                <w:sz w:val="22"/>
              </w:rPr>
              <w:t>$g = \sigma( W_2\,\mathrm{GELU}( W_1\,[E_{EEG}; E_{att}] ) ),\quad g \in (0,1)$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2"/>
              </w:rPr>
              <w:t>(3)</w:t>
            </w:r>
          </w:p>
        </w:tc>
      </w:tr>
    </w:tbl>
    <w:p>
      <w:pPr>
        <w:spacing w:after="40"/>
      </w:pP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其中 [E_EEG ; E_att] ∈ R^(2D)，W₁ ∈ R^(D×2D)，W₂ ∈ R^(1×D)，σ 为 Sigmoid。门控位于跨模态注意力之后，因其打分依赖于注意力输出 E_att：单看 EOG 无法区分“疲劳性闭眼”与“自主性揉眼”，可信度判断必须结合 EEG 上下文。跨模态注意力负责细粒度“精挑”（在 125 个 token 间分配权重），门控负责粗粒度“把关”（对整个窗口输出标量可信度），二者分工互补。门控作用于注意力输出并经残差连接与归一化：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54"/>
        <w:gridCol w:w="1417"/>
      </w:tblGrid>
      <w:tr>
        <w:tc>
          <w:tcPr>
            <w:tcW w:type="dxa" w:w="765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onsolas" w:hAnsi="Consolas" w:eastAsia="宋体"/>
                <w:sz w:val="22"/>
              </w:rPr>
              <w:t>$H = \mathrm{LN}( E_{EEG} + g \odot E_{att} )$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2"/>
              </w:rPr>
              <w:t>(4)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Times New Roman" w:hAnsi="Times New Roman" w:eastAsia="黑体"/>
          <w:b/>
          <w:sz w:val="26"/>
        </w:rPr>
        <w:t>2.4  时间建模与时间差分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融合后的窗口序列经位置编码与时序 Transformer 建模 8 个窗口间的疲劳演变。取末窗口表征 h₋₁ 与前一窗口 h₋₂ 之差作为状态变化趋势，并与之拼接：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54"/>
        <w:gridCol w:w="1417"/>
      </w:tblGrid>
      <w:tr>
        <w:tc>
          <w:tcPr>
            <w:tcW w:type="dxa" w:w="765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onsolas" w:hAnsi="Consolas" w:eastAsia="宋体"/>
                <w:sz w:val="22"/>
              </w:rPr>
              <w:t>$\Delta h = h_{-1} - h_{-2},\qquad h = [\,h_{-1};\, \Delta h\,] \in \mathbb{R}^{2D}$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2"/>
              </w:rPr>
              <w:t>(5)</w:t>
            </w:r>
          </w:p>
        </w:tc>
      </w:tr>
    </w:tbl>
    <w:p>
      <w:pPr>
        <w:spacing w:after="40"/>
      </w:pP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当 T=1 时差分退化为零向量。该模块显式地将“变化方向”提供给后续输出头。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6"/>
        </w:rPr>
        <w:t>2.5  输出与损失函数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模型设有分类头与回归头，分别输出二分类 logits 与连续 PERCLOS 值。损失由分类损失与回归损失构成：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54"/>
        <w:gridCol w:w="1417"/>
      </w:tblGrid>
      <w:tr>
        <w:tc>
          <w:tcPr>
            <w:tcW w:type="dxa" w:w="765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onsolas" w:hAnsi="Consolas" w:eastAsia="宋体"/>
                <w:sz w:val="22"/>
              </w:rPr>
              <w:t>$\mathcal{L}_{cls} = \mathrm{CrossEntropy}(z,\, y_{cls})$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2"/>
              </w:rPr>
              <w:t>(6)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54"/>
        <w:gridCol w:w="1417"/>
      </w:tblGrid>
      <w:tr>
        <w:tc>
          <w:tcPr>
            <w:tcW w:type="dxa" w:w="765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onsolas" w:hAnsi="Consolas" w:eastAsia="宋体"/>
                <w:sz w:val="22"/>
              </w:rPr>
              <w:t>$\mathcal{L}_{reg} = \mathrm{SmoothL1}(\hat{y},\, y_{perclos})$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2"/>
              </w:rPr>
              <w:t>(7)</w:t>
            </w:r>
          </w:p>
        </w:tc>
      </w:tr>
    </w:tbl>
    <w:p>
      <w:pPr>
        <w:spacing w:after="40"/>
      </w:pP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依据训练目标，总损失为：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54"/>
        <w:gridCol w:w="1417"/>
      </w:tblGrid>
      <w:tr>
        <w:tc>
          <w:tcPr>
            <w:tcW w:type="dxa" w:w="7654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onsolas" w:hAnsi="Consolas" w:eastAsia="宋体"/>
                <w:sz w:val="22"/>
              </w:rPr>
              <w:t>$\mathcal{L} = \mathcal{L}_{cls}\ (\text{classification});\quad \mathcal{L}_{reg}\ (\text{regression});\quad \mathcal{L}_{cls} + \lambda\,\mathcal{L}_{reg}\ (\text{multitask})$</w:t>
            </w:r>
          </w:p>
        </w:tc>
        <w:tc>
          <w:tcPr>
            <w:tcW w:type="dxa" w:w="1417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/>
                <w:sz w:val="22"/>
              </w:rPr>
              <w:t>(8)</w:t>
            </w:r>
          </w:p>
        </w:tc>
      </w:tr>
    </w:tbl>
    <w:p>
      <w:pPr>
        <w:spacing w:after="40"/>
      </w:pP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其中 λ 为回归权重（默认 0.5）。本文以回归为主任务，分类与多任务作为消融对照。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3  实验设置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6"/>
        </w:rPr>
        <w:t>3.1  数据集与协议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实验基于 SEED-VIG 公开疲劳数据集。EEG 采样率 200Hz、17 通道；EOG 采样率 125Hz、7 通道。每 8 秒为一个窗口，连续 8 个窗口构成一个 64 秒样本。标签为 PERCLOS 连续值，按阈值 0.35 映射为二分类（awake/fatigue），按 0.35 与 0.70 映射为三分类。采用两类评估协议：within-experiment 5 折（同一实验内划分）与 group-subject 5 折（按被试划分训练/验证/测试集，保证测试被试不出现在训练集中）。本文主结果采用 group-subject，因其更能反映跨被试泛化能力。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6"/>
        </w:rPr>
        <w:t>3.2  评价指标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连续 PERCLOS 估计使用 RMSE、MAE 与 Pearson 相关系数评价；工程二分类指标包括 Accuracy、Macro-F1 与 Balanced Accuracy，由回归输出阈值化后计算。所有结果为 5 折均值±标准差。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6"/>
        </w:rPr>
        <w:t>3.3  训练设置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主要超参数如表 2 所示。优化器为 AdamW，学习率 1×10⁻³，训练 20 轮。</w:t>
      </w:r>
    </w:p>
    <w:p>
      <w:pPr>
        <w:spacing w:before="80" w:after="40"/>
        <w:jc w:val="center"/>
      </w:pPr>
      <w:r>
        <w:rPr>
          <w:rFonts w:ascii="Times New Roman" w:hAnsi="Times New Roman" w:eastAsia="黑体"/>
          <w:b/>
          <w:sz w:val="21"/>
        </w:rPr>
        <w:t>表 2  训练超参数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超参数</w:t>
            </w:r>
          </w:p>
        </w:tc>
        <w:tc>
          <w:tcPr>
            <w:tcW w:type="dxa" w:w="458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取值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sz w:val="20"/>
              </w:rPr>
              <w:t>序列长度 T</w:t>
            </w:r>
          </w:p>
        </w:tc>
        <w:tc>
          <w:tcPr>
            <w:tcW w:type="dxa" w:w="458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8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sz w:val="20"/>
              </w:rPr>
              <w:t>批大小 B</w:t>
            </w:r>
          </w:p>
        </w:tc>
        <w:tc>
          <w:tcPr>
            <w:tcW w:type="dxa" w:w="458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sz w:val="20"/>
              </w:rPr>
              <w:t>嵌入维度 D</w:t>
            </w:r>
          </w:p>
        </w:tc>
        <w:tc>
          <w:tcPr>
            <w:tcW w:type="dxa" w:w="458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64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sz w:val="20"/>
              </w:rPr>
              <w:t>注意力头数</w:t>
            </w:r>
          </w:p>
        </w:tc>
        <w:tc>
          <w:tcPr>
            <w:tcW w:type="dxa" w:w="458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sz w:val="20"/>
              </w:rPr>
              <w:t>Window Transformer 层数</w:t>
            </w:r>
          </w:p>
        </w:tc>
        <w:tc>
          <w:tcPr>
            <w:tcW w:type="dxa" w:w="458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sz w:val="20"/>
              </w:rPr>
              <w:t>Temporal Transformer 层数</w:t>
            </w:r>
          </w:p>
        </w:tc>
        <w:tc>
          <w:tcPr>
            <w:tcW w:type="dxa" w:w="458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sz w:val="20"/>
              </w:rPr>
              <w:t>EOG dropout</w:t>
            </w:r>
          </w:p>
        </w:tc>
        <w:tc>
          <w:tcPr>
            <w:tcW w:type="dxa" w:w="458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0.25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sz w:val="20"/>
              </w:rPr>
              <w:t>学习率</w:t>
            </w:r>
          </w:p>
        </w:tc>
        <w:tc>
          <w:tcPr>
            <w:tcW w:type="dxa" w:w="458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1×10⁻³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sz w:val="20"/>
              </w:rPr>
              <w:t>训练轮数</w:t>
            </w:r>
          </w:p>
        </w:tc>
        <w:tc>
          <w:tcPr>
            <w:tcW w:type="dxa" w:w="458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20</w:t>
            </w:r>
          </w:p>
        </w:tc>
      </w:tr>
      <w:tr>
        <w:tc>
          <w:tcPr>
            <w:tcW w:type="dxa" w:w="4589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sz w:val="20"/>
              </w:rPr>
              <w:t>优化器</w:t>
            </w:r>
          </w:p>
        </w:tc>
        <w:tc>
          <w:tcPr>
            <w:tcW w:type="dxa" w:w="4589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AdamW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Times New Roman" w:hAnsi="Times New Roman" w:eastAsia="黑体"/>
          <w:b/>
          <w:sz w:val="26"/>
        </w:rPr>
        <w:t>3.4  对比方法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对比以下方法（均在 group-subject、binary 设置下）：（1）EEG-only 基线；（2）EOG-only 基线；（3）本文 Delta-Gate；（4）EEG+EOG anchor-residual；（5）EEG+EOG anchor-residual no-delta；（6）传统特征拼接基线。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4  实验结果与分析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6"/>
        </w:rPr>
        <w:t>4.1  主结果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表 3 给出 group-subject、binary、回归训练目标下的主结果。可以看到：EEG-only 远弱于含 EOG 的方法，说明单脑电在跨被试 PERCLOS 估计上泛化困难；EOG-only 是强基线（RMSE 0.1432、Pearson 0.8536），印证 EOG 与 PERCLOS 标签存在显著代理关系；本文 Delta-Gate 取得 Acc 0.8233、F1 0.7995、BalAcc 0.7977、RMSE 0.1483、Pearson 0.8406，与 EOG-only 相比在分类工程指标（F1 +0.0112、BalAcc +0.0157）上略有提升，在回归指标（RMSE +0.0051、Pearson −0.0130）上基本持平、略劣。这表明在 SEED-VIG 干净测试条件下，多模态融合并未全面超越 EOG-only，其价值需结合后续鲁棒性分析理解。</w:t>
      </w:r>
    </w:p>
    <w:p>
      <w:pPr>
        <w:spacing w:before="80" w:after="40"/>
        <w:jc w:val="center"/>
      </w:pPr>
      <w:r>
        <w:rPr>
          <w:rFonts w:ascii="Times New Roman" w:hAnsi="Times New Roman" w:eastAsia="黑体"/>
          <w:b/>
          <w:sz w:val="21"/>
        </w:rPr>
        <w:t>表 3  主结果（group-subject, binary, regression, 5 折 mean±std）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方法</w:t>
            </w:r>
          </w:p>
        </w:tc>
        <w:tc>
          <w:tcPr>
            <w:tcW w:type="dxa" w:w="153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Acc↑</w:t>
            </w:r>
          </w:p>
        </w:tc>
        <w:tc>
          <w:tcPr>
            <w:tcW w:type="dxa" w:w="153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F1↑</w:t>
            </w:r>
          </w:p>
        </w:tc>
        <w:tc>
          <w:tcPr>
            <w:tcW w:type="dxa" w:w="153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BalAcc↑</w:t>
            </w:r>
          </w:p>
        </w:tc>
        <w:tc>
          <w:tcPr>
            <w:tcW w:type="dxa" w:w="153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RMSE↓</w:t>
            </w:r>
          </w:p>
        </w:tc>
        <w:tc>
          <w:tcPr>
            <w:tcW w:type="dxa" w:w="153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Pearson↑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sz w:val="18"/>
              </w:rPr>
              <w:t>特征拼接基线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0.4912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-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-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0.2563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0.5746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sz w:val="18"/>
              </w:rPr>
              <w:t>EEG-only (multitask)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0.6378±0.073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0.5711±0.084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0.6002±0.098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0.2345±0.034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0.5428±0.148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sz w:val="18"/>
              </w:rPr>
              <w:t>EOG-only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0.8250±0.053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0.7883±0.079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0.7820±0.084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0.1432±0.021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0.8536±0.034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sz w:val="18"/>
              </w:rPr>
              <w:t>Delta-Gate (本文)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0.8233±0.022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0.7995±0.038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0.7977±0.049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0.1483±0.014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0.8406±0.026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sz w:val="18"/>
              </w:rPr>
              <w:t>anchor-residual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0.8027±0.037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0.7894±0.035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0.7993±0.037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0.1471±0.017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0.8398±0.051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sz w:val="18"/>
              </w:rPr>
              <w:t>anchor-residual no-delta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0.8263±0.048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0.8043±0.057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0.8017±0.058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0.1433±0.010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0.8508±0.034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Times New Roman" w:hAnsi="Times New Roman" w:eastAsia="黑体"/>
          <w:b/>
          <w:sz w:val="26"/>
        </w:rPr>
        <w:t>4.2  训练目标消融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表 4 展示不同训练目标对 EOG-only 与 Delta-Gate 的影响。CE-only 训练虽能获得较高分类指标（F1 达 0.8118），但连续 PERCLOS 估计能力被显著破坏，RMSE 升至 0.30 以上、Pearson 变为负值；回归训练则保留良好的连续估计能力（Pearson 0.84~0.85）。因此本文以回归为主任务，CE-only 与多任务仅作消融对照。</w:t>
      </w:r>
    </w:p>
    <w:p>
      <w:pPr>
        <w:spacing w:before="80" w:after="40"/>
        <w:jc w:val="center"/>
      </w:pPr>
      <w:r>
        <w:rPr>
          <w:rFonts w:ascii="Times New Roman" w:hAnsi="Times New Roman" w:eastAsia="黑体"/>
          <w:b/>
          <w:sz w:val="21"/>
        </w:rPr>
        <w:t>表 4  训练目标消融（group-subject, binary, 5 折 mean±std）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1"/>
        <w:gridCol w:w="1311"/>
        <w:gridCol w:w="1311"/>
        <w:gridCol w:w="1311"/>
        <w:gridCol w:w="1311"/>
        <w:gridCol w:w="1311"/>
        <w:gridCol w:w="1311"/>
      </w:tblGrid>
      <w:tr>
        <w:tc>
          <w:tcPr>
            <w:tcW w:type="dxa" w:w="131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模型</w:t>
            </w:r>
          </w:p>
        </w:tc>
        <w:tc>
          <w:tcPr>
            <w:tcW w:type="dxa" w:w="131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目标</w:t>
            </w:r>
          </w:p>
        </w:tc>
        <w:tc>
          <w:tcPr>
            <w:tcW w:type="dxa" w:w="131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Acc</w:t>
            </w:r>
          </w:p>
        </w:tc>
        <w:tc>
          <w:tcPr>
            <w:tcW w:type="dxa" w:w="131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F1</w:t>
            </w:r>
          </w:p>
        </w:tc>
        <w:tc>
          <w:tcPr>
            <w:tcW w:type="dxa" w:w="131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BalAcc</w:t>
            </w:r>
          </w:p>
        </w:tc>
        <w:tc>
          <w:tcPr>
            <w:tcW w:type="dxa" w:w="131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RMSE</w:t>
            </w:r>
          </w:p>
        </w:tc>
        <w:tc>
          <w:tcPr>
            <w:tcW w:type="dxa" w:w="1311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Pearson</w:t>
            </w:r>
          </w:p>
        </w:tc>
      </w:tr>
      <w:tr>
        <w:tc>
          <w:tcPr>
            <w:tcW w:type="dxa" w:w="131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sz w:val="18"/>
              </w:rPr>
              <w:t>EOG-only</w:t>
            </w:r>
          </w:p>
        </w:tc>
        <w:tc>
          <w:tcPr>
            <w:tcW w:type="dxa" w:w="131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classification</w:t>
            </w:r>
          </w:p>
        </w:tc>
        <w:tc>
          <w:tcPr>
            <w:tcW w:type="dxa" w:w="131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0.8261±0.036</w:t>
            </w:r>
          </w:p>
        </w:tc>
        <w:tc>
          <w:tcPr>
            <w:tcW w:type="dxa" w:w="131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0.8118±0.039</w:t>
            </w:r>
          </w:p>
        </w:tc>
        <w:tc>
          <w:tcPr>
            <w:tcW w:type="dxa" w:w="131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0.8191±0.036</w:t>
            </w:r>
          </w:p>
        </w:tc>
        <w:tc>
          <w:tcPr>
            <w:tcW w:type="dxa" w:w="131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0.3070±0.070</w:t>
            </w:r>
          </w:p>
        </w:tc>
        <w:tc>
          <w:tcPr>
            <w:tcW w:type="dxa" w:w="131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−0.4279±0.498</w:t>
            </w:r>
          </w:p>
        </w:tc>
      </w:tr>
      <w:tr>
        <w:tc>
          <w:tcPr>
            <w:tcW w:type="dxa" w:w="131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sz w:val="18"/>
              </w:rPr>
              <w:t>Delta-Gate</w:t>
            </w:r>
          </w:p>
        </w:tc>
        <w:tc>
          <w:tcPr>
            <w:tcW w:type="dxa" w:w="131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classification</w:t>
            </w:r>
          </w:p>
        </w:tc>
        <w:tc>
          <w:tcPr>
            <w:tcW w:type="dxa" w:w="131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0.8080±0.052</w:t>
            </w:r>
          </w:p>
        </w:tc>
        <w:tc>
          <w:tcPr>
            <w:tcW w:type="dxa" w:w="131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0.7926±0.062</w:t>
            </w:r>
          </w:p>
        </w:tc>
        <w:tc>
          <w:tcPr>
            <w:tcW w:type="dxa" w:w="131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0.8020±0.065</w:t>
            </w:r>
          </w:p>
        </w:tc>
        <w:tc>
          <w:tcPr>
            <w:tcW w:type="dxa" w:w="131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0.3105±0.049</w:t>
            </w:r>
          </w:p>
        </w:tc>
        <w:tc>
          <w:tcPr>
            <w:tcW w:type="dxa" w:w="131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−0.7082±0.126</w:t>
            </w:r>
          </w:p>
        </w:tc>
      </w:tr>
      <w:tr>
        <w:tc>
          <w:tcPr>
            <w:tcW w:type="dxa" w:w="131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sz w:val="18"/>
              </w:rPr>
              <w:t>EOG-only</w:t>
            </w:r>
          </w:p>
        </w:tc>
        <w:tc>
          <w:tcPr>
            <w:tcW w:type="dxa" w:w="131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regression</w:t>
            </w:r>
          </w:p>
        </w:tc>
        <w:tc>
          <w:tcPr>
            <w:tcW w:type="dxa" w:w="131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0.8250±0.053</w:t>
            </w:r>
          </w:p>
        </w:tc>
        <w:tc>
          <w:tcPr>
            <w:tcW w:type="dxa" w:w="131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0.7883±0.079</w:t>
            </w:r>
          </w:p>
        </w:tc>
        <w:tc>
          <w:tcPr>
            <w:tcW w:type="dxa" w:w="131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0.7820±0.084</w:t>
            </w:r>
          </w:p>
        </w:tc>
        <w:tc>
          <w:tcPr>
            <w:tcW w:type="dxa" w:w="131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0.1432±0.021</w:t>
            </w:r>
          </w:p>
        </w:tc>
        <w:tc>
          <w:tcPr>
            <w:tcW w:type="dxa" w:w="131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0.8536±0.034</w:t>
            </w:r>
          </w:p>
        </w:tc>
      </w:tr>
      <w:tr>
        <w:tc>
          <w:tcPr>
            <w:tcW w:type="dxa" w:w="1311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sz w:val="18"/>
              </w:rPr>
              <w:t>Delta-Gate</w:t>
            </w:r>
          </w:p>
        </w:tc>
        <w:tc>
          <w:tcPr>
            <w:tcW w:type="dxa" w:w="131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regression</w:t>
            </w:r>
          </w:p>
        </w:tc>
        <w:tc>
          <w:tcPr>
            <w:tcW w:type="dxa" w:w="131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0.8233±0.022</w:t>
            </w:r>
          </w:p>
        </w:tc>
        <w:tc>
          <w:tcPr>
            <w:tcW w:type="dxa" w:w="131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0.7995±0.038</w:t>
            </w:r>
          </w:p>
        </w:tc>
        <w:tc>
          <w:tcPr>
            <w:tcW w:type="dxa" w:w="131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0.7977±0.049</w:t>
            </w:r>
          </w:p>
        </w:tc>
        <w:tc>
          <w:tcPr>
            <w:tcW w:type="dxa" w:w="131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0.1483±0.014</w:t>
            </w:r>
          </w:p>
        </w:tc>
        <w:tc>
          <w:tcPr>
            <w:tcW w:type="dxa" w:w="1311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0.8406±0.026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Times New Roman" w:hAnsi="Times New Roman" w:eastAsia="黑体"/>
          <w:b/>
          <w:sz w:val="26"/>
        </w:rPr>
        <w:t>4.3  模态消融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表 5 给出 multitask 训练目标下三组模态消融。EEG-only 显著弱于其余两者（Acc 仅 0.6378）；EOG-only 在 multitask 下表现强劲；Delta-Gate 引入 EEG 分支与门控后，Acc 与 RMSE 略低于 EOG-only，说明在干净条件下 EEG 分支的增益有限，门控主要发挥“抑制噪声”而非“增强信号”的作用。</w:t>
      </w:r>
    </w:p>
    <w:p>
      <w:pPr>
        <w:spacing w:before="80" w:after="40"/>
        <w:jc w:val="center"/>
      </w:pPr>
      <w:r>
        <w:rPr>
          <w:rFonts w:ascii="Times New Roman" w:hAnsi="Times New Roman" w:eastAsia="黑体"/>
          <w:b/>
          <w:sz w:val="21"/>
        </w:rPr>
        <w:t>表 5  模态消融（group-subject, binary, multitask, 5 折 mean±std）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方法</w:t>
            </w:r>
          </w:p>
        </w:tc>
        <w:tc>
          <w:tcPr>
            <w:tcW w:type="dxa" w:w="153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Acc</w:t>
            </w:r>
          </w:p>
        </w:tc>
        <w:tc>
          <w:tcPr>
            <w:tcW w:type="dxa" w:w="153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F1</w:t>
            </w:r>
          </w:p>
        </w:tc>
        <w:tc>
          <w:tcPr>
            <w:tcW w:type="dxa" w:w="153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BalAcc</w:t>
            </w:r>
          </w:p>
        </w:tc>
        <w:tc>
          <w:tcPr>
            <w:tcW w:type="dxa" w:w="153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RMSE</w:t>
            </w:r>
          </w:p>
        </w:tc>
        <w:tc>
          <w:tcPr>
            <w:tcW w:type="dxa" w:w="153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Pearson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sz w:val="18"/>
              </w:rPr>
              <w:t>EEG-only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0.6378±0.073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0.5711±0.084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0.6002±0.098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0.2345±0.034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0.5428±0.148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sz w:val="18"/>
              </w:rPr>
              <w:t>EOG-only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0.8369±0.035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0.8190±0.040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0.8185±0.045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0.1505±0.018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0.8317±0.034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sz w:val="18"/>
              </w:rPr>
              <w:t>Delta-Gate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0.8132±0.022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0.7847±0.035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0.7773±0.041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0.1546±0.022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0.8258±0.060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Times New Roman" w:hAnsi="Times New Roman" w:eastAsia="黑体"/>
          <w:b/>
          <w:sz w:val="26"/>
        </w:rPr>
        <w:t>4.4  划分协议影响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表 6 比较 within-experiment 与 group-subject 两种协议（EEG+EOG cross-attention, 3-class）。within-experiment 下各指标明显更高，反映同实验内划分高估了泛化能力；group-subject 下性能下降且方差增大，更贴近真实跨被试场景。不同随机种子下 group-subject 结果稳定（seed0 0.7233 vs seed1 0.7068），说明结论具有可重复性。</w:t>
      </w:r>
    </w:p>
    <w:p>
      <w:pPr>
        <w:spacing w:before="80" w:after="40"/>
        <w:jc w:val="center"/>
      </w:pPr>
      <w:r>
        <w:rPr>
          <w:rFonts w:ascii="Times New Roman" w:hAnsi="Times New Roman" w:eastAsia="黑体"/>
          <w:b/>
          <w:sz w:val="21"/>
        </w:rPr>
        <w:t>表 6  划分协议影响（EEG+EOG cross-attention, 3-class, 5 折 mean±std）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协议</w:t>
            </w:r>
          </w:p>
        </w:tc>
        <w:tc>
          <w:tcPr>
            <w:tcW w:type="dxa" w:w="153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Acc</w:t>
            </w:r>
          </w:p>
        </w:tc>
        <w:tc>
          <w:tcPr>
            <w:tcW w:type="dxa" w:w="153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F1</w:t>
            </w:r>
          </w:p>
        </w:tc>
        <w:tc>
          <w:tcPr>
            <w:tcW w:type="dxa" w:w="153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BalAcc</w:t>
            </w:r>
          </w:p>
        </w:tc>
        <w:tc>
          <w:tcPr>
            <w:tcW w:type="dxa" w:w="153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RMSE</w:t>
            </w:r>
          </w:p>
        </w:tc>
        <w:tc>
          <w:tcPr>
            <w:tcW w:type="dxa" w:w="153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Pearson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sz w:val="18"/>
              </w:rPr>
              <w:t>within-experiment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0.7732±0.026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0.7700±0.033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0.7802±0.031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0.1320±0.011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0.8637±0.043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sz w:val="18"/>
              </w:rPr>
              <w:t>group-subject (seed0)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0.7233±0.055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0.7241±0.059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0.7332±0.043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0.1652±0.029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0.8145±0.053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sz w:val="18"/>
              </w:rPr>
              <w:t>group-subject (seed1)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0.7068±0.039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0.7098±0.044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0.7143±0.039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0.1533±0.016</w:t>
            </w:r>
          </w:p>
        </w:tc>
        <w:tc>
          <w:tcPr>
            <w:tcW w:type="dxa" w:w="153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0.8370±0.058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5  结论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sz w:val="24"/>
        </w:rPr>
        <w:t>本文提出一种基于脑电与眼电跨模态门控融合的驾驶疲劳检测模型。该模型以 EEG 为主干提取时序表征，通过跨模态注意力使 EEG 按需从 EOG 中读取佐证信息，并引入门控机制自适应控制眼电信息进入强度，有效缓解了 EOG 噪声问题；时间差分模块显式建模末窗口状态变化趋势，增强了对疲劳渐进过程的刻画能力。在 SEED-VIG 严格跨被试协议下，Delta-Gate 取得准确率 0.8233、宏 F1 0.7995、RMSE 0.1483、Pearson 0.8406，在分类工程指标上优于 EOG-only 强基线，回归指标基本持平。实验同时诚实揭示：EOG 是 PERCLOS 标签的强代理信号，在干净测试条件下多模态融合并未全面超越 EOG-only，其价值主要体现在困难样本与 EOG 不可靠场景下的鲁棒补偿（该部分将作为未来工作进一步验证）。后续工作将补充 EOG 退化鲁棒性实验与跨被试表征对齐方法。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参考文献</w:t>
      </w:r>
    </w:p>
    <w:p>
      <w:pPr>
        <w:spacing w:line="360" w:lineRule="auto" w:after="40"/>
        <w:ind w:left="420" w:hanging="420"/>
      </w:pPr>
      <w:r>
        <w:rPr>
          <w:rFonts w:ascii="Times New Roman" w:hAnsi="Times New Roman" w:eastAsia="宋体"/>
          <w:sz w:val="21"/>
        </w:rPr>
        <w:t xml:space="preserve">[1] </w:t>
      </w:r>
      <w:r>
        <w:rPr>
          <w:rFonts w:ascii="Times New Roman" w:hAnsi="Times New Roman" w:eastAsia="宋体"/>
          <w:sz w:val="21"/>
        </w:rPr>
        <w:t>Zheng Y L, et al. EEG-based vigilance estimation by combining multitask learning and dynamical constraint. IEEE Trans. Auton. Ment. Dev., 2017. SEED-VIG: https://bcmi.sjtu.edu.cn/home/seed/seed-vig.html</w:t>
      </w:r>
    </w:p>
    <w:p>
      <w:pPr>
        <w:spacing w:line="360" w:lineRule="auto" w:after="40"/>
        <w:ind w:left="420" w:hanging="420"/>
      </w:pPr>
      <w:r>
        <w:rPr>
          <w:rFonts w:ascii="Times New Roman" w:hAnsi="Times New Roman" w:eastAsia="宋体"/>
          <w:sz w:val="21"/>
        </w:rPr>
        <w:t xml:space="preserve">[2] </w:t>
      </w:r>
      <w:r>
        <w:rPr>
          <w:rFonts w:ascii="Times New Roman" w:hAnsi="Times New Roman" w:eastAsia="宋体"/>
          <w:sz w:val="21"/>
        </w:rPr>
        <w:t>Gulati A, Qin B, Chiu C C, et al. Conformer: Convolution-augmented transformer for speech recognition. Interspeech, 2020.</w:t>
      </w:r>
    </w:p>
    <w:p>
      <w:pPr>
        <w:spacing w:line="360" w:lineRule="auto" w:after="40"/>
        <w:ind w:left="420" w:hanging="420"/>
      </w:pPr>
      <w:r>
        <w:rPr>
          <w:rFonts w:ascii="Times New Roman" w:hAnsi="Times New Roman" w:eastAsia="宋体"/>
          <w:sz w:val="21"/>
        </w:rPr>
        <w:t xml:space="preserve">[3] </w:t>
      </w:r>
      <w:r>
        <w:rPr>
          <w:rFonts w:ascii="Times New Roman" w:hAnsi="Times New Roman" w:eastAsia="宋体"/>
          <w:sz w:val="21"/>
        </w:rPr>
        <w:t>Vaswani A, Shazeer N, Parmar N, et al. Attention is all you need. NeurIPS, 2017.</w:t>
      </w:r>
    </w:p>
    <w:p>
      <w:pPr>
        <w:spacing w:line="360" w:lineRule="auto" w:after="40"/>
        <w:ind w:left="420" w:hanging="420"/>
      </w:pPr>
      <w:r>
        <w:rPr>
          <w:rFonts w:ascii="Times New Roman" w:hAnsi="Times New Roman" w:eastAsia="宋体"/>
          <w:sz w:val="21"/>
        </w:rPr>
        <w:t xml:space="preserve">[4] </w:t>
      </w:r>
      <w:r>
        <w:rPr>
          <w:rFonts w:ascii="Times New Roman" w:hAnsi="Times New Roman" w:eastAsia="宋体"/>
          <w:sz w:val="21"/>
        </w:rPr>
        <w:t>Wierwille W W, Ellsworth L A, Wreggit S S, et al. Research on vehicle-based driver status/performance monitoring. Proc. HVTT, 1994.</w:t>
      </w:r>
    </w:p>
    <w:p>
      <w:pPr>
        <w:spacing w:line="360" w:lineRule="auto" w:after="40"/>
        <w:ind w:left="420" w:hanging="420"/>
      </w:pPr>
      <w:r>
        <w:rPr>
          <w:rFonts w:ascii="Times New Roman" w:hAnsi="Times New Roman" w:eastAsia="宋体"/>
          <w:sz w:val="21"/>
        </w:rPr>
        <w:t xml:space="preserve">[5] </w:t>
      </w:r>
      <w:r>
        <w:rPr>
          <w:rFonts w:ascii="Times New Roman" w:hAnsi="Times New Roman" w:eastAsia="宋体"/>
          <w:sz w:val="21"/>
        </w:rPr>
        <w:t>Lal S K L, Craig A. A critical review of the psychophysiology of driver fatigue. Biol. Psychol., 2001.</w:t>
      </w:r>
    </w:p>
    <w:p>
      <w:pPr>
        <w:spacing w:line="360" w:lineRule="auto" w:after="40"/>
        <w:ind w:left="420" w:hanging="420"/>
      </w:pPr>
      <w:r>
        <w:rPr>
          <w:rFonts w:ascii="Times New Roman" w:hAnsi="Times New Roman" w:eastAsia="宋体"/>
          <w:sz w:val="21"/>
        </w:rPr>
        <w:t xml:space="preserve">[6] </w:t>
      </w:r>
      <w:r>
        <w:rPr>
          <w:rFonts w:ascii="Times New Roman" w:hAnsi="Times New Roman" w:eastAsia="宋体"/>
          <w:sz w:val="21"/>
        </w:rPr>
        <w:t>Arevalo J, Sossa H, et al. Gated multimodal units for information fusion. ICLR Workshop, 2017.</w:t>
      </w:r>
    </w:p>
    <w:sectPr w:rsidR="00FC693F" w:rsidRPr="0006063C" w:rsidSect="00034616">
      <w:pgSz w:w="12240" w:h="15840"/>
      <w:pgMar w:top="1417" w:right="1531" w:bottom="141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