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r>
        <w:rPr>
          <w:rFonts w:ascii="Calibri" w:hAnsi="Calibri"/>
          <w:b/>
          <w:i w:val="0"/>
          <w:color w:val="17365D"/>
          <w:sz w:val="48"/>
        </w:rPr>
        <w:t>VISA COMPASS</w:t>
        <w:br/>
        <w:t>DEPLOYMENT REQUIREMENTS &amp; OPTIONS</w:t>
      </w:r>
    </w:p>
    <w:p>
      <w:r>
        <w:rPr>
          <w:rFonts w:ascii="Calibri" w:hAnsi="Calibri"/>
          <w:b/>
          <w:i w:val="0"/>
          <w:color w:val="2E74B5"/>
          <w:sz w:val="28"/>
        </w:rPr>
        <w:t>A practical, cost-conscious infrastructure overview</w:t>
      </w:r>
    </w:p>
    <w:p>
      <w:pPr>
        <w:spacing w:after="120"/>
      </w:pPr>
      <w:r>
        <w:rPr>
          <w:rFonts w:ascii="Calibri" w:hAnsi="Calibri"/>
          <w:b w:val="0"/>
          <w:i w:val="0"/>
          <w:color w:val="111111"/>
          <w:sz w:val="21"/>
        </w:rPr>
        <w:t>Purpose: compare suitable managed services for launching the application with limited configuration changes. This is a planning document, not a detailed enterprise architecture or operations manual.</w:t>
      </w:r>
    </w:p>
    <w:p>
      <w:pPr>
        <w:spacing w:before="80" w:after="200"/>
        <w:shd w:fill="EAF4EA"/>
      </w:pPr>
      <w:r>
        <w:rPr>
          <w:rFonts w:ascii="Calibri" w:hAnsi="Calibri"/>
          <w:b/>
          <w:i w:val="0"/>
          <w:color w:val="17365D"/>
          <w:sz w:val="21"/>
        </w:rPr>
        <w:t xml:space="preserve">CURRENT DIRECTION  </w:t>
      </w:r>
      <w:r>
        <w:rPr>
          <w:rFonts w:ascii="Calibri" w:hAnsi="Calibri"/>
          <w:b w:val="0"/>
          <w:i w:val="0"/>
          <w:color w:val="17365D"/>
          <w:sz w:val="21"/>
        </w:rPr>
        <w:t>Keep Clerk for authentication. Choose one compute platform, one managed database, one Redis service, and one private object-storage provider. Start small and scale after actual traffic is measured.</w:t>
      </w:r>
    </w:p>
    <w:p>
      <w:pPr>
        <w:pStyle w:val="Heading1"/>
      </w:pPr>
      <w:r>
        <w:t>1. What the application needs</w:t>
      </w:r>
    </w:p>
    <w:p>
      <w:pPr>
        <w:pStyle w:val="ListBullet"/>
        <w:spacing w:after="120"/>
      </w:pPr>
      <w:r>
        <w:rPr>
          <w:rFonts w:ascii="Calibri" w:hAnsi="Calibri"/>
          <w:b w:val="0"/>
          <w:i w:val="0"/>
          <w:color w:val="111111"/>
          <w:sz w:val="21"/>
        </w:rPr>
        <w:t>Three always-available application services: NestJS API, customer Next.js portal, and operations Next.js portal.</w:t>
      </w:r>
    </w:p>
    <w:p>
      <w:pPr>
        <w:pStyle w:val="ListBullet"/>
        <w:spacing w:after="120"/>
      </w:pPr>
      <w:r>
        <w:rPr>
          <w:rFonts w:ascii="Calibri" w:hAnsi="Calibri"/>
          <w:b w:val="0"/>
          <w:i w:val="0"/>
          <w:color w:val="111111"/>
          <w:sz w:val="21"/>
        </w:rPr>
        <w:t>A managed SQL database, a TCP-compatible Redis instance for BullMQ jobs, and private object storage for passport and customer documents.</w:t>
      </w:r>
    </w:p>
    <w:p>
      <w:pPr>
        <w:pStyle w:val="ListBullet"/>
        <w:spacing w:after="120"/>
      </w:pPr>
      <w:r>
        <w:rPr>
          <w:rFonts w:ascii="Calibri" w:hAnsi="Calibri"/>
          <w:b w:val="0"/>
          <w:i w:val="0"/>
          <w:color w:val="111111"/>
          <w:sz w:val="21"/>
        </w:rPr>
        <w:t>Clerk authentication, transactional email, DNS/TLS, and credentials for payment, WhatsApp, and eSIM-provider integrations.</w:t>
      </w:r>
    </w:p>
    <w:p>
      <w:pPr>
        <w:pStyle w:val="ListBullet"/>
        <w:spacing w:after="120"/>
      </w:pPr>
      <w:r>
        <w:rPr>
          <w:rFonts w:ascii="Calibri" w:hAnsi="Calibri"/>
          <w:b w:val="0"/>
          <w:i w:val="0"/>
          <w:color w:val="111111"/>
          <w:sz w:val="21"/>
        </w:rPr>
        <w:t>Separate production and staging resources are preferred. If budget is tight, staging compute may be turned on only during testing, but production data and credentials must remain separate.</w:t>
      </w:r>
    </w:p>
    <w:p>
      <w:pPr>
        <w:pStyle w:val="Heading1"/>
      </w:pPr>
      <w:r>
        <w:t>2. Compute platform options</w:t>
      </w:r>
    </w:p>
    <w:p>
      <w:pPr>
        <w:pStyle w:val="Heading2"/>
      </w:pPr>
      <w:r>
        <w:t>Starting compute capacity</w:t>
      </w:r>
    </w:p>
    <w:p>
      <w:pPr>
        <w:spacing w:after="120"/>
      </w:pPr>
      <w:r>
        <w:rPr>
          <w:rFonts w:ascii="Calibri" w:hAnsi="Calibri"/>
          <w:b w:val="0"/>
          <w:i w:val="0"/>
          <w:color w:val="111111"/>
          <w:sz w:val="21"/>
        </w:rPr>
        <w:t>These are practical launch baselines for expected early-stage traffic. They are not fixed limits; review actual CPU, memory, response time and queue delay after launch.</w:t>
      </w:r>
    </w:p>
    <w:tbl>
      <w:tblPr>
        <w:tblStyle w:val="TableGrid"/>
        <w:tblW w:type="auto" w:w="0"/>
        <w:jc w:val="left"/>
        <w:tblLayout w:type="fixed"/>
        <w:tblLook w:firstColumn="1" w:firstRow="1" w:lastColumn="0" w:lastRow="0" w:noHBand="0" w:noVBand="1" w:val="04A0"/>
      </w:tblPr>
      <w:tblGrid>
        <w:gridCol w:w="1800"/>
        <w:gridCol w:w="2800"/>
        <w:gridCol w:w="2200"/>
        <w:gridCol w:w="2560"/>
      </w:tblGrid>
      <w:tr>
        <w:trPr>
          <w:tblHeader w:val="true"/>
          <w:cantSplit w:val="true"/>
        </w:trPr>
        <w:tc>
          <w:tcPr>
            <w:tcW w:type="dxa" w:w="1800"/>
            <w:shd w:fill="17365D"/>
            <w:tcMar>
              <w:top w:w="90" w:type="dxa"/>
              <w:bottom w:w="90" w:type="dxa"/>
              <w:start w:w="110" w:type="dxa"/>
              <w:end w:w="110" w:type="dxa"/>
            </w:tcMar>
          </w:tcPr>
          <w:p>
            <w:r>
              <w:rPr>
                <w:rFonts w:ascii="Calibri" w:hAnsi="Calibri"/>
                <w:b/>
                <w:i w:val="0"/>
                <w:color w:val="FFFFFF"/>
                <w:sz w:val="16"/>
              </w:rPr>
              <w:t>Application service</w:t>
            </w:r>
          </w:p>
        </w:tc>
        <w:tc>
          <w:tcPr>
            <w:tcW w:type="dxa" w:w="2800"/>
            <w:shd w:fill="17365D"/>
            <w:tcMar>
              <w:top w:w="90" w:type="dxa"/>
              <w:bottom w:w="90" w:type="dxa"/>
              <w:start w:w="110" w:type="dxa"/>
              <w:end w:w="110" w:type="dxa"/>
            </w:tcMar>
          </w:tcPr>
          <w:p>
            <w:r>
              <w:rPr>
                <w:rFonts w:ascii="Calibri" w:hAnsi="Calibri"/>
                <w:b/>
                <w:i w:val="0"/>
                <w:color w:val="FFFFFF"/>
                <w:sz w:val="16"/>
              </w:rPr>
              <w:t>Starting production capacity</w:t>
            </w:r>
          </w:p>
        </w:tc>
        <w:tc>
          <w:tcPr>
            <w:tcW w:type="dxa" w:w="2200"/>
            <w:shd w:fill="17365D"/>
            <w:tcMar>
              <w:top w:w="90" w:type="dxa"/>
              <w:bottom w:w="90" w:type="dxa"/>
              <w:start w:w="110" w:type="dxa"/>
              <w:end w:w="110" w:type="dxa"/>
            </w:tcMar>
          </w:tcPr>
          <w:p>
            <w:r>
              <w:rPr>
                <w:rFonts w:ascii="Calibri" w:hAnsi="Calibri"/>
                <w:b/>
                <w:i w:val="0"/>
                <w:color w:val="FFFFFF"/>
                <w:sz w:val="16"/>
              </w:rPr>
              <w:t>Staging capacity</w:t>
            </w:r>
          </w:p>
        </w:tc>
        <w:tc>
          <w:tcPr>
            <w:tcW w:type="dxa" w:w="2560"/>
            <w:shd w:fill="17365D"/>
            <w:tcMar>
              <w:top w:w="90" w:type="dxa"/>
              <w:bottom w:w="90" w:type="dxa"/>
              <w:start w:w="110" w:type="dxa"/>
              <w:end w:w="110" w:type="dxa"/>
            </w:tcMar>
          </w:tcPr>
          <w:p>
            <w:r>
              <w:rPr>
                <w:rFonts w:ascii="Calibri" w:hAnsi="Calibri"/>
                <w:b/>
                <w:i w:val="0"/>
                <w:color w:val="FFFFFF"/>
                <w:sz w:val="16"/>
              </w:rPr>
              <w:t>When to increase</w:t>
            </w:r>
          </w:p>
        </w:tc>
      </w:tr>
      <w:tr>
        <w:trPr>
          <w:cantSplit w:val="true"/>
          <w:cantSplit w:val="true"/>
        </w:trPr>
        <w:tc>
          <w:tcPr>
            <w:tcW w:type="dxa" w:w="1800"/>
            <w:vAlign w:val="center"/>
            <w:tcMar>
              <w:top w:w="90" w:type="dxa"/>
              <w:bottom w:w="90" w:type="dxa"/>
              <w:start w:w="110" w:type="dxa"/>
              <w:end w:w="110" w:type="dxa"/>
            </w:tcMar>
          </w:tcPr>
          <w:p>
            <w:pPr>
              <w:spacing w:after="0" w:line="240" w:lineRule="auto"/>
            </w:pPr>
            <w:r>
              <w:rPr>
                <w:rFonts w:ascii="Calibri" w:hAnsi="Calibri"/>
                <w:b w:val="0"/>
                <w:i w:val="0"/>
                <w:color w:val="111111"/>
                <w:sz w:val="16"/>
              </w:rPr>
              <w:t>NestJS API + BullMQ workers</w:t>
            </w:r>
          </w:p>
        </w:tc>
        <w:tc>
          <w:tcPr>
            <w:tcW w:type="dxa" w:w="2800"/>
            <w:vAlign w:val="center"/>
            <w:tcMar>
              <w:top w:w="90" w:type="dxa"/>
              <w:bottom w:w="90" w:type="dxa"/>
              <w:start w:w="110" w:type="dxa"/>
              <w:end w:w="110" w:type="dxa"/>
            </w:tcMar>
          </w:tcPr>
          <w:p>
            <w:pPr>
              <w:spacing w:after="0" w:line="240" w:lineRule="auto"/>
            </w:pPr>
            <w:r>
              <w:rPr>
                <w:rFonts w:ascii="Calibri" w:hAnsi="Calibri"/>
                <w:b w:val="0"/>
                <w:i w:val="0"/>
                <w:color w:val="111111"/>
                <w:sz w:val="16"/>
              </w:rPr>
              <w:t>1 replica; 1 vCPU and 1–2 GB RAM; always on. Keep one API replica while workflow execution remains single-instance.</w:t>
            </w:r>
          </w:p>
        </w:tc>
        <w:tc>
          <w:tcPr>
            <w:tcW w:type="dxa" w:w="2200"/>
            <w:vAlign w:val="center"/>
            <w:tcMar>
              <w:top w:w="90" w:type="dxa"/>
              <w:bottom w:w="90" w:type="dxa"/>
              <w:start w:w="110" w:type="dxa"/>
              <w:end w:w="110" w:type="dxa"/>
            </w:tcMar>
          </w:tcPr>
          <w:p>
            <w:pPr>
              <w:spacing w:after="0" w:line="240" w:lineRule="auto"/>
            </w:pPr>
            <w:r>
              <w:rPr>
                <w:rFonts w:ascii="Calibri" w:hAnsi="Calibri"/>
                <w:b w:val="0"/>
                <w:i w:val="0"/>
                <w:color w:val="111111"/>
                <w:sz w:val="16"/>
              </w:rPr>
              <w:t>1 smaller replica; approximately 0.5 vCPU and 512 MB–1 GB RAM; may be stopped outside testing.</w:t>
            </w:r>
          </w:p>
        </w:tc>
        <w:tc>
          <w:tcPr>
            <w:tcW w:type="dxa" w:w="2560"/>
            <w:vAlign w:val="center"/>
            <w:tcMar>
              <w:top w:w="90" w:type="dxa"/>
              <w:bottom w:w="90" w:type="dxa"/>
              <w:start w:w="110" w:type="dxa"/>
              <w:end w:w="110" w:type="dxa"/>
            </w:tcMar>
          </w:tcPr>
          <w:p>
            <w:pPr>
              <w:spacing w:after="0" w:line="240" w:lineRule="auto"/>
            </w:pPr>
            <w:r>
              <w:rPr>
                <w:rFonts w:ascii="Calibri" w:hAnsi="Calibri"/>
                <w:b w:val="0"/>
                <w:i w:val="0"/>
                <w:color w:val="111111"/>
                <w:sz w:val="16"/>
              </w:rPr>
              <w:t>Sustained CPU above 70%, memory above 75%, slow API responses, queue backlog or delayed provider jobs.</w:t>
            </w:r>
          </w:p>
        </w:tc>
      </w:tr>
      <w:tr>
        <w:trPr>
          <w:cantSplit w:val="true"/>
          <w:cantSplit w:val="true"/>
        </w:trPr>
        <w:tc>
          <w:tcPr>
            <w:tcW w:type="dxa" w:w="18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Customer Next.js portal</w:t>
            </w:r>
          </w:p>
        </w:tc>
        <w:tc>
          <w:tcPr>
            <w:tcW w:type="dxa" w:w="28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1 replica; approximately 0.5 vCPU and 512 MB RAM.</w:t>
            </w:r>
          </w:p>
        </w:tc>
        <w:tc>
          <w:tcPr>
            <w:tcW w:type="dxa" w:w="22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1 small replica; may be stopped outside testing.</w:t>
            </w:r>
          </w:p>
        </w:tc>
        <w:tc>
          <w:tcPr>
            <w:tcW w:type="dxa" w:w="256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High response latency, memory pressure, increased concurrent users or server-rendering load.</w:t>
            </w:r>
          </w:p>
        </w:tc>
      </w:tr>
      <w:tr>
        <w:trPr>
          <w:cantSplit w:val="true"/>
          <w:cantSplit w:val="true"/>
        </w:trPr>
        <w:tc>
          <w:tcPr>
            <w:tcW w:type="dxa" w:w="1800"/>
            <w:vAlign w:val="center"/>
            <w:tcMar>
              <w:top w:w="90" w:type="dxa"/>
              <w:bottom w:w="90" w:type="dxa"/>
              <w:start w:w="110" w:type="dxa"/>
              <w:end w:w="110" w:type="dxa"/>
            </w:tcMar>
          </w:tcPr>
          <w:p>
            <w:pPr>
              <w:spacing w:after="0" w:line="240" w:lineRule="auto"/>
            </w:pPr>
            <w:r>
              <w:rPr>
                <w:rFonts w:ascii="Calibri" w:hAnsi="Calibri"/>
                <w:b w:val="0"/>
                <w:i w:val="0"/>
                <w:color w:val="111111"/>
                <w:sz w:val="16"/>
              </w:rPr>
              <w:t>Operations Next.js portal</w:t>
            </w:r>
          </w:p>
        </w:tc>
        <w:tc>
          <w:tcPr>
            <w:tcW w:type="dxa" w:w="2800"/>
            <w:vAlign w:val="center"/>
            <w:tcMar>
              <w:top w:w="90" w:type="dxa"/>
              <w:bottom w:w="90" w:type="dxa"/>
              <w:start w:w="110" w:type="dxa"/>
              <w:end w:w="110" w:type="dxa"/>
            </w:tcMar>
          </w:tcPr>
          <w:p>
            <w:pPr>
              <w:spacing w:after="0" w:line="240" w:lineRule="auto"/>
            </w:pPr>
            <w:r>
              <w:rPr>
                <w:rFonts w:ascii="Calibri" w:hAnsi="Calibri"/>
                <w:b w:val="0"/>
                <w:i w:val="0"/>
                <w:color w:val="111111"/>
                <w:sz w:val="16"/>
              </w:rPr>
              <w:t>1 replica; approximately 0.5 vCPU and 512 MB RAM.</w:t>
            </w:r>
          </w:p>
        </w:tc>
        <w:tc>
          <w:tcPr>
            <w:tcW w:type="dxa" w:w="2200"/>
            <w:vAlign w:val="center"/>
            <w:tcMar>
              <w:top w:w="90" w:type="dxa"/>
              <w:bottom w:w="90" w:type="dxa"/>
              <w:start w:w="110" w:type="dxa"/>
              <w:end w:w="110" w:type="dxa"/>
            </w:tcMar>
          </w:tcPr>
          <w:p>
            <w:pPr>
              <w:spacing w:after="0" w:line="240" w:lineRule="auto"/>
            </w:pPr>
            <w:r>
              <w:rPr>
                <w:rFonts w:ascii="Calibri" w:hAnsi="Calibri"/>
                <w:b w:val="0"/>
                <w:i w:val="0"/>
                <w:color w:val="111111"/>
                <w:sz w:val="16"/>
              </w:rPr>
              <w:t>1 small replica; may be stopped outside testing.</w:t>
            </w:r>
          </w:p>
        </w:tc>
        <w:tc>
          <w:tcPr>
            <w:tcW w:type="dxa" w:w="2560"/>
            <w:vAlign w:val="center"/>
            <w:tcMar>
              <w:top w:w="90" w:type="dxa"/>
              <w:bottom w:w="90" w:type="dxa"/>
              <w:start w:w="110" w:type="dxa"/>
              <w:end w:w="110" w:type="dxa"/>
            </w:tcMar>
          </w:tcPr>
          <w:p>
            <w:pPr>
              <w:spacing w:after="0" w:line="240" w:lineRule="auto"/>
            </w:pPr>
            <w:r>
              <w:rPr>
                <w:rFonts w:ascii="Calibri" w:hAnsi="Calibri"/>
                <w:b w:val="0"/>
                <w:i w:val="0"/>
                <w:color w:val="111111"/>
                <w:sz w:val="16"/>
              </w:rPr>
              <w:t>Concurrent staff usage, slow server-rendered pages, build/runtime memory pressure or timeouts.</w:t>
            </w:r>
          </w:p>
        </w:tc>
      </w:tr>
      <w:tr>
        <w:trPr>
          <w:cantSplit w:val="true"/>
          <w:cantSplit w:val="true"/>
        </w:trPr>
        <w:tc>
          <w:tcPr>
            <w:tcW w:type="dxa" w:w="18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Initial production total</w:t>
            </w:r>
          </w:p>
        </w:tc>
        <w:tc>
          <w:tcPr>
            <w:tcW w:type="dxa" w:w="28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Approximately 2 vCPU and 2–3 GB RAM across three services. Allow additional platform headroom for builds and traffic bursts.</w:t>
            </w:r>
          </w:p>
        </w:tc>
        <w:tc>
          <w:tcPr>
            <w:tcW w:type="dxa" w:w="22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Approximately 1–1.5 vCPU and 1.5–2 GB RAM when all staging services are running.</w:t>
            </w:r>
          </w:p>
        </w:tc>
        <w:tc>
          <w:tcPr>
            <w:tcW w:type="dxa" w:w="256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Review after the first month or after any major traffic, integration or workflow change.</w:t>
            </w:r>
          </w:p>
        </w:tc>
      </w:tr>
    </w:tbl>
    <w:p>
      <w:pPr>
        <w:spacing w:after="20"/>
      </w:pPr>
    </w:p>
    <w:p>
      <w:pPr>
        <w:spacing w:after="120"/>
      </w:pPr>
      <w:r>
        <w:rPr>
          <w:rFonts w:ascii="Calibri" w:hAnsi="Calibri"/>
          <w:b w:val="0"/>
          <w:i w:val="0"/>
          <w:color w:val="111111"/>
          <w:sz w:val="21"/>
        </w:rPr>
        <w:t>All prices below are indicative public list prices in USD, before tax, bandwidth, support, regional differences, and usage overages. Confirm the selected region in each provider calculator before purchase.</w:t>
      </w:r>
    </w:p>
    <w:tbl>
      <w:tblPr>
        <w:tblStyle w:val="TableGrid"/>
        <w:tblW w:type="auto" w:w="0"/>
        <w:jc w:val="left"/>
        <w:tblLayout w:type="fixed"/>
        <w:tblLook w:firstColumn="1" w:firstRow="1" w:lastColumn="0" w:lastRow="0" w:noHBand="0" w:noVBand="1" w:val="04A0"/>
      </w:tblPr>
      <w:tblGrid>
        <w:gridCol w:w="1300"/>
        <w:gridCol w:w="1900"/>
        <w:gridCol w:w="2850"/>
        <w:gridCol w:w="3310"/>
      </w:tblGrid>
      <w:tr>
        <w:trPr>
          <w:tblHeader w:val="true"/>
          <w:cantSplit w:val="true"/>
        </w:trPr>
        <w:tc>
          <w:tcPr>
            <w:tcW w:type="dxa" w:w="1300"/>
            <w:shd w:fill="17365D"/>
            <w:tcMar>
              <w:top w:w="90" w:type="dxa"/>
              <w:bottom w:w="90" w:type="dxa"/>
              <w:start w:w="110" w:type="dxa"/>
              <w:end w:w="110" w:type="dxa"/>
            </w:tcMar>
          </w:tcPr>
          <w:p>
            <w:r>
              <w:rPr>
                <w:rFonts w:ascii="Calibri" w:hAnsi="Calibri"/>
                <w:b/>
                <w:i w:val="0"/>
                <w:color w:val="FFFFFF"/>
                <w:sz w:val="17"/>
              </w:rPr>
              <w:t>Option</w:t>
            </w:r>
          </w:p>
        </w:tc>
        <w:tc>
          <w:tcPr>
            <w:tcW w:type="dxa" w:w="1900"/>
            <w:shd w:fill="17365D"/>
            <w:tcMar>
              <w:top w:w="90" w:type="dxa"/>
              <w:bottom w:w="90" w:type="dxa"/>
              <w:start w:w="110" w:type="dxa"/>
              <w:end w:w="110" w:type="dxa"/>
            </w:tcMar>
          </w:tcPr>
          <w:p>
            <w:r>
              <w:rPr>
                <w:rFonts w:ascii="Calibri" w:hAnsi="Calibri"/>
                <w:b/>
                <w:i w:val="0"/>
                <w:color w:val="FFFFFF"/>
                <w:sz w:val="17"/>
              </w:rPr>
              <w:t>Indicative starting price</w:t>
            </w:r>
          </w:p>
        </w:tc>
        <w:tc>
          <w:tcPr>
            <w:tcW w:type="dxa" w:w="2850"/>
            <w:shd w:fill="17365D"/>
            <w:tcMar>
              <w:top w:w="90" w:type="dxa"/>
              <w:bottom w:w="90" w:type="dxa"/>
              <w:start w:w="110" w:type="dxa"/>
              <w:end w:w="110" w:type="dxa"/>
            </w:tcMar>
          </w:tcPr>
          <w:p>
            <w:r>
              <w:rPr>
                <w:rFonts w:ascii="Calibri" w:hAnsi="Calibri"/>
                <w:b/>
                <w:i w:val="0"/>
                <w:color w:val="FFFFFF"/>
                <w:sz w:val="17"/>
              </w:rPr>
              <w:t>Fit for this application</w:t>
            </w:r>
          </w:p>
        </w:tc>
        <w:tc>
          <w:tcPr>
            <w:tcW w:type="dxa" w:w="3310"/>
            <w:shd w:fill="17365D"/>
            <w:tcMar>
              <w:top w:w="90" w:type="dxa"/>
              <w:bottom w:w="90" w:type="dxa"/>
              <w:start w:w="110" w:type="dxa"/>
              <w:end w:w="110" w:type="dxa"/>
            </w:tcMar>
          </w:tcPr>
          <w:p>
            <w:r>
              <w:rPr>
                <w:rFonts w:ascii="Calibri" w:hAnsi="Calibri"/>
                <w:b/>
                <w:i w:val="0"/>
                <w:color w:val="FFFFFF"/>
                <w:sz w:val="17"/>
              </w:rPr>
              <w:t>Important notes</w:t>
            </w:r>
          </w:p>
        </w:tc>
      </w:tr>
      <w:tr>
        <w:trPr>
          <w:cantSplit w:val="true"/>
          <w:cantSplit w:val="true"/>
        </w:trPr>
        <w:tc>
          <w:tcPr>
            <w:tcW w:type="dxa" w:w="1300"/>
            <w:vAlign w:val="center"/>
            <w:tcMar>
              <w:top w:w="90" w:type="dxa"/>
              <w:bottom w:w="90" w:type="dxa"/>
              <w:start w:w="110" w:type="dxa"/>
              <w:end w:w="110" w:type="dxa"/>
            </w:tcMar>
          </w:tcPr>
          <w:p>
            <w:pPr>
              <w:spacing w:after="0" w:line="240" w:lineRule="auto"/>
            </w:pPr>
            <w:r>
              <w:rPr>
                <w:rFonts w:ascii="Calibri" w:hAnsi="Calibri"/>
                <w:b w:val="0"/>
                <w:i w:val="0"/>
                <w:color w:val="111111"/>
                <w:sz w:val="17"/>
              </w:rPr>
              <w:t>Render</w:t>
            </w:r>
          </w:p>
        </w:tc>
        <w:tc>
          <w:tcPr>
            <w:tcW w:type="dxa" w:w="1900"/>
            <w:vAlign w:val="center"/>
            <w:tcMar>
              <w:top w:w="90" w:type="dxa"/>
              <w:bottom w:w="90" w:type="dxa"/>
              <w:start w:w="110" w:type="dxa"/>
              <w:end w:w="110" w:type="dxa"/>
            </w:tcMar>
          </w:tcPr>
          <w:p>
            <w:pPr>
              <w:spacing w:after="0" w:line="240" w:lineRule="auto"/>
            </w:pPr>
            <w:r>
              <w:rPr>
                <w:rFonts w:ascii="Calibri" w:hAnsi="Calibri"/>
                <w:b w:val="0"/>
                <w:i w:val="0"/>
                <w:color w:val="111111"/>
                <w:sz w:val="17"/>
              </w:rPr>
              <w:t>Starter web service commonly about $7/service/month; Standard about $25/service/month. Three Starter services ≈ $21/month.</w:t>
            </w:r>
          </w:p>
        </w:tc>
        <w:tc>
          <w:tcPr>
            <w:tcW w:type="dxa" w:w="2850"/>
            <w:vAlign w:val="center"/>
            <w:tcMar>
              <w:top w:w="90" w:type="dxa"/>
              <w:bottom w:w="90" w:type="dxa"/>
              <w:start w:w="110" w:type="dxa"/>
              <w:end w:w="110" w:type="dxa"/>
            </w:tcMar>
          </w:tcPr>
          <w:p>
            <w:pPr>
              <w:spacing w:after="0" w:line="240" w:lineRule="auto"/>
            </w:pPr>
            <w:r>
              <w:rPr>
                <w:rFonts w:ascii="Calibri" w:hAnsi="Calibri"/>
                <w:b w:val="0"/>
                <w:i w:val="0"/>
                <w:color w:val="111111"/>
                <w:sz w:val="17"/>
              </w:rPr>
              <w:t>Simple Node/Docker deployment; suitable for API and both Next.js portals. Managed Postgres and Key Value are available on the same platform.</w:t>
            </w:r>
          </w:p>
        </w:tc>
        <w:tc>
          <w:tcPr>
            <w:tcW w:type="dxa" w:w="3310"/>
            <w:vAlign w:val="center"/>
            <w:tcMar>
              <w:top w:w="90" w:type="dxa"/>
              <w:bottom w:w="90" w:type="dxa"/>
              <w:start w:w="110" w:type="dxa"/>
              <w:end w:w="110" w:type="dxa"/>
            </w:tcMar>
          </w:tcPr>
          <w:p>
            <w:pPr>
              <w:spacing w:after="0" w:line="240" w:lineRule="auto"/>
            </w:pPr>
            <w:r>
              <w:rPr>
                <w:rFonts w:ascii="Calibri" w:hAnsi="Calibri"/>
                <w:b w:val="0"/>
                <w:i w:val="0"/>
                <w:color w:val="111111"/>
                <w:sz w:val="17"/>
              </w:rPr>
              <w:t>Database, Key Value and storage are separate billable resources; they are not included in the web-service price.</w:t>
            </w:r>
          </w:p>
        </w:tc>
      </w:tr>
      <w:tr>
        <w:trPr>
          <w:cantSplit w:val="true"/>
          <w:cantSplit w:val="true"/>
        </w:trPr>
        <w:tc>
          <w:tcPr>
            <w:tcW w:type="dxa" w:w="13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7"/>
              </w:rPr>
              <w:t>Railway</w:t>
            </w:r>
          </w:p>
        </w:tc>
        <w:tc>
          <w:tcPr>
            <w:tcW w:type="dxa" w:w="19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7"/>
              </w:rPr>
              <w:t>Pro has a $20/month minimum commitment that includes the first $20 of combined resource usage; overage is charged separately.</w:t>
            </w:r>
          </w:p>
        </w:tc>
        <w:tc>
          <w:tcPr>
            <w:tcW w:type="dxa" w:w="285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7"/>
              </w:rPr>
              <w:t>Very low configuration effort for a pnpm monorepo. Compute, databases, volumes and object storage can share one project and bill.</w:t>
            </w:r>
          </w:p>
        </w:tc>
        <w:tc>
          <w:tcPr>
            <w:tcW w:type="dxa" w:w="331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7"/>
              </w:rPr>
              <w:t>Resources are usage-metered rather than free; the $20 credit is shared across all usage.</w:t>
            </w:r>
          </w:p>
        </w:tc>
      </w:tr>
      <w:tr>
        <w:trPr>
          <w:cantSplit w:val="true"/>
          <w:cantSplit w:val="true"/>
        </w:trPr>
        <w:tc>
          <w:tcPr>
            <w:tcW w:type="dxa" w:w="1300"/>
            <w:vAlign w:val="center"/>
            <w:tcMar>
              <w:top w:w="90" w:type="dxa"/>
              <w:bottom w:w="90" w:type="dxa"/>
              <w:start w:w="110" w:type="dxa"/>
              <w:end w:w="110" w:type="dxa"/>
            </w:tcMar>
          </w:tcPr>
          <w:p>
            <w:pPr>
              <w:spacing w:after="0" w:line="240" w:lineRule="auto"/>
            </w:pPr>
            <w:r>
              <w:rPr>
                <w:rFonts w:ascii="Calibri" w:hAnsi="Calibri"/>
                <w:b w:val="0"/>
                <w:i w:val="0"/>
                <w:color w:val="111111"/>
                <w:sz w:val="17"/>
              </w:rPr>
              <w:t>Azure App Service (Linux)</w:t>
            </w:r>
          </w:p>
        </w:tc>
        <w:tc>
          <w:tcPr>
            <w:tcW w:type="dxa" w:w="1900"/>
            <w:vAlign w:val="center"/>
            <w:tcMar>
              <w:top w:w="90" w:type="dxa"/>
              <w:bottom w:w="90" w:type="dxa"/>
              <w:start w:w="110" w:type="dxa"/>
              <w:end w:w="110" w:type="dxa"/>
            </w:tcMar>
          </w:tcPr>
          <w:p>
            <w:pPr>
              <w:spacing w:after="0" w:line="240" w:lineRule="auto"/>
            </w:pPr>
            <w:r>
              <w:rPr>
                <w:rFonts w:ascii="Calibri" w:hAnsi="Calibri"/>
                <w:b w:val="0"/>
                <w:i w:val="0"/>
                <w:color w:val="111111"/>
                <w:sz w:val="17"/>
              </w:rPr>
              <w:t>Basic B1 is roughly $13–14/month per App Service plan in published examples; region and currency vary.</w:t>
            </w:r>
          </w:p>
        </w:tc>
        <w:tc>
          <w:tcPr>
            <w:tcW w:type="dxa" w:w="2850"/>
            <w:vAlign w:val="center"/>
            <w:tcMar>
              <w:top w:w="90" w:type="dxa"/>
              <w:bottom w:w="90" w:type="dxa"/>
              <w:start w:w="110" w:type="dxa"/>
              <w:end w:w="110" w:type="dxa"/>
            </w:tcMar>
          </w:tcPr>
          <w:p>
            <w:pPr>
              <w:spacing w:after="0" w:line="240" w:lineRule="auto"/>
            </w:pPr>
            <w:r>
              <w:rPr>
                <w:rFonts w:ascii="Calibri" w:hAnsi="Calibri"/>
                <w:b w:val="0"/>
                <w:i w:val="0"/>
                <w:color w:val="111111"/>
                <w:sz w:val="17"/>
              </w:rPr>
              <w:t>Good choice when the business prefers Microsoft Azure, governance, or one-cloud ownership.</w:t>
            </w:r>
          </w:p>
        </w:tc>
        <w:tc>
          <w:tcPr>
            <w:tcW w:type="dxa" w:w="3310"/>
            <w:vAlign w:val="center"/>
            <w:tcMar>
              <w:top w:w="90" w:type="dxa"/>
              <w:bottom w:w="90" w:type="dxa"/>
              <w:start w:w="110" w:type="dxa"/>
              <w:end w:w="110" w:type="dxa"/>
            </w:tcMar>
          </w:tcPr>
          <w:p>
            <w:pPr>
              <w:spacing w:after="0" w:line="240" w:lineRule="auto"/>
            </w:pPr>
            <w:r>
              <w:rPr>
                <w:rFonts w:ascii="Calibri" w:hAnsi="Calibri"/>
                <w:b w:val="0"/>
                <w:i w:val="0"/>
                <w:color w:val="111111"/>
                <w:sz w:val="17"/>
              </w:rPr>
              <w:t>One plan can host multiple apps, but production sizing, deployment slots, networking and logs can raise cost.</w:t>
            </w:r>
          </w:p>
        </w:tc>
      </w:tr>
    </w:tbl>
    <w:p>
      <w:pPr>
        <w:spacing w:after="20"/>
      </w:pPr>
    </w:p>
    <w:p>
      <w:r>
        <w:br w:type="page"/>
      </w:r>
    </w:p>
    <w:p>
      <w:pPr>
        <w:spacing w:after="360"/>
      </w:pPr>
    </w:p>
    <w:p>
      <w:pPr>
        <w:pStyle w:val="Heading1"/>
      </w:pPr>
      <w:r>
        <w:t>3. Database and application storage</w:t>
      </w:r>
    </w:p>
    <w:tbl>
      <w:tblPr>
        <w:tblStyle w:val="TableGrid"/>
        <w:tblW w:type="auto" w:w="0"/>
        <w:jc w:val="left"/>
        <w:tblLayout w:type="fixed"/>
        <w:tblLook w:firstColumn="1" w:firstRow="1" w:lastColumn="0" w:lastRow="0" w:noHBand="0" w:noVBand="1" w:val="04A0"/>
      </w:tblPr>
      <w:tblGrid>
        <w:gridCol w:w="1700"/>
        <w:gridCol w:w="2100"/>
        <w:gridCol w:w="2650"/>
        <w:gridCol w:w="3010"/>
      </w:tblGrid>
      <w:tr>
        <w:trPr>
          <w:tblHeader w:val="true"/>
          <w:cantSplit w:val="true"/>
        </w:trPr>
        <w:tc>
          <w:tcPr>
            <w:tcW w:type="dxa" w:w="1700"/>
            <w:shd w:fill="17365D"/>
            <w:tcMar>
              <w:top w:w="90" w:type="dxa"/>
              <w:bottom w:w="90" w:type="dxa"/>
              <w:start w:w="110" w:type="dxa"/>
              <w:end w:w="110" w:type="dxa"/>
            </w:tcMar>
          </w:tcPr>
          <w:p>
            <w:r>
              <w:rPr>
                <w:rFonts w:ascii="Calibri" w:hAnsi="Calibri"/>
                <w:b/>
                <w:i w:val="0"/>
                <w:color w:val="FFFFFF"/>
                <w:sz w:val="17"/>
              </w:rPr>
              <w:t>Service</w:t>
            </w:r>
          </w:p>
        </w:tc>
        <w:tc>
          <w:tcPr>
            <w:tcW w:type="dxa" w:w="2100"/>
            <w:shd w:fill="17365D"/>
            <w:tcMar>
              <w:top w:w="90" w:type="dxa"/>
              <w:bottom w:w="90" w:type="dxa"/>
              <w:start w:w="110" w:type="dxa"/>
              <w:end w:w="110" w:type="dxa"/>
            </w:tcMar>
          </w:tcPr>
          <w:p>
            <w:r>
              <w:rPr>
                <w:rFonts w:ascii="Calibri" w:hAnsi="Calibri"/>
                <w:b/>
                <w:i w:val="0"/>
                <w:color w:val="FFFFFF"/>
                <w:sz w:val="17"/>
              </w:rPr>
              <w:t>Indicative price</w:t>
            </w:r>
          </w:p>
        </w:tc>
        <w:tc>
          <w:tcPr>
            <w:tcW w:type="dxa" w:w="2650"/>
            <w:shd w:fill="17365D"/>
            <w:tcMar>
              <w:top w:w="90" w:type="dxa"/>
              <w:bottom w:w="90" w:type="dxa"/>
              <w:start w:w="110" w:type="dxa"/>
              <w:end w:w="110" w:type="dxa"/>
            </w:tcMar>
          </w:tcPr>
          <w:p>
            <w:r>
              <w:rPr>
                <w:rFonts w:ascii="Calibri" w:hAnsi="Calibri"/>
                <w:b/>
                <w:i w:val="0"/>
                <w:color w:val="FFFFFF"/>
                <w:sz w:val="17"/>
              </w:rPr>
              <w:t>Recommended use</w:t>
            </w:r>
          </w:p>
        </w:tc>
        <w:tc>
          <w:tcPr>
            <w:tcW w:type="dxa" w:w="3010"/>
            <w:shd w:fill="17365D"/>
            <w:tcMar>
              <w:top w:w="90" w:type="dxa"/>
              <w:bottom w:w="90" w:type="dxa"/>
              <w:start w:w="110" w:type="dxa"/>
              <w:end w:w="110" w:type="dxa"/>
            </w:tcMar>
          </w:tcPr>
          <w:p>
            <w:r>
              <w:rPr>
                <w:rFonts w:ascii="Calibri" w:hAnsi="Calibri"/>
                <w:b/>
                <w:i w:val="0"/>
                <w:color w:val="FFFFFF"/>
                <w:sz w:val="17"/>
              </w:rPr>
              <w:t>Compatibility / caveat</w:t>
            </w:r>
          </w:p>
        </w:tc>
      </w:tr>
      <w:tr>
        <w:trPr>
          <w:cantSplit w:val="true"/>
          <w:cantSplit w:val="true"/>
        </w:trPr>
        <w:tc>
          <w:tcPr>
            <w:tcW w:type="dxa" w:w="1700"/>
            <w:vAlign w:val="center"/>
            <w:tcMar>
              <w:top w:w="90" w:type="dxa"/>
              <w:bottom w:w="90" w:type="dxa"/>
              <w:start w:w="110" w:type="dxa"/>
              <w:end w:w="110" w:type="dxa"/>
            </w:tcMar>
          </w:tcPr>
          <w:p>
            <w:pPr>
              <w:spacing w:after="0" w:line="240" w:lineRule="auto"/>
            </w:pPr>
            <w:r>
              <w:rPr>
                <w:rFonts w:ascii="Calibri" w:hAnsi="Calibri"/>
                <w:b w:val="0"/>
                <w:i w:val="0"/>
                <w:color w:val="111111"/>
                <w:sz w:val="17"/>
              </w:rPr>
              <w:t>Supabase Postgres</w:t>
            </w:r>
          </w:p>
        </w:tc>
        <w:tc>
          <w:tcPr>
            <w:tcW w:type="dxa" w:w="2100"/>
            <w:vAlign w:val="center"/>
            <w:tcMar>
              <w:top w:w="90" w:type="dxa"/>
              <w:bottom w:w="90" w:type="dxa"/>
              <w:start w:w="110" w:type="dxa"/>
              <w:end w:w="110" w:type="dxa"/>
            </w:tcMar>
          </w:tcPr>
          <w:p>
            <w:pPr>
              <w:spacing w:after="0" w:line="240" w:lineRule="auto"/>
            </w:pPr>
            <w:r>
              <w:rPr>
                <w:rFonts w:ascii="Calibri" w:hAnsi="Calibri"/>
                <w:b w:val="0"/>
                <w:i w:val="0"/>
                <w:color w:val="111111"/>
                <w:sz w:val="17"/>
              </w:rPr>
              <w:t>Free: $0, 500 MB database and 1 GB file storage. Pro: from $25/month, 8 GB database, 100 GB file storage, 7-day daily backups.</w:t>
            </w:r>
          </w:p>
        </w:tc>
        <w:tc>
          <w:tcPr>
            <w:tcW w:type="dxa" w:w="2650"/>
            <w:vAlign w:val="center"/>
            <w:tcMar>
              <w:top w:w="90" w:type="dxa"/>
              <w:bottom w:w="90" w:type="dxa"/>
              <w:start w:w="110" w:type="dxa"/>
              <w:end w:w="110" w:type="dxa"/>
            </w:tcMar>
          </w:tcPr>
          <w:p>
            <w:pPr>
              <w:spacing w:after="0" w:line="240" w:lineRule="auto"/>
            </w:pPr>
            <w:r>
              <w:rPr>
                <w:rFonts w:ascii="Calibri" w:hAnsi="Calibri"/>
                <w:b w:val="0"/>
                <w:i w:val="0"/>
                <w:color w:val="111111"/>
                <w:sz w:val="17"/>
              </w:rPr>
              <w:t>Strong all-in-one option for managed PostgreSQL and ordinary application assets.</w:t>
            </w:r>
          </w:p>
        </w:tc>
        <w:tc>
          <w:tcPr>
            <w:tcW w:type="dxa" w:w="3010"/>
            <w:vAlign w:val="center"/>
            <w:tcMar>
              <w:top w:w="90" w:type="dxa"/>
              <w:bottom w:w="90" w:type="dxa"/>
              <w:start w:w="110" w:type="dxa"/>
              <w:end w:w="110" w:type="dxa"/>
            </w:tcMar>
          </w:tcPr>
          <w:p>
            <w:pPr>
              <w:spacing w:after="0" w:line="240" w:lineRule="auto"/>
            </w:pPr>
            <w:r>
              <w:rPr>
                <w:rFonts w:ascii="Calibri" w:hAnsi="Calibri"/>
                <w:b w:val="0"/>
                <w:i w:val="0"/>
                <w:color w:val="111111"/>
                <w:sz w:val="17"/>
              </w:rPr>
              <w:t>The current Prisma schema uses the CockroachDB provider. Moving to Supabase requires changing Prisma to PostgreSQL, creating migrations, and testing SQL behaviour.</w:t>
            </w:r>
          </w:p>
        </w:tc>
      </w:tr>
      <w:tr>
        <w:trPr>
          <w:cantSplit w:val="true"/>
          <w:cantSplit w:val="true"/>
        </w:trPr>
        <w:tc>
          <w:tcPr>
            <w:tcW w:type="dxa" w:w="17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7"/>
              </w:rPr>
              <w:t>CockroachDB Cloud</w:t>
            </w:r>
          </w:p>
        </w:tc>
        <w:tc>
          <w:tcPr>
            <w:tcW w:type="dxa" w:w="21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7"/>
              </w:rPr>
              <w:t>Basic can start at $0 with included monthly usage; pay as usage grows.</w:t>
            </w:r>
          </w:p>
        </w:tc>
        <w:tc>
          <w:tcPr>
            <w:tcW w:type="dxa" w:w="265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7"/>
              </w:rPr>
              <w:t>Lowest-change database target for the current Prisma configuration.</w:t>
            </w:r>
          </w:p>
        </w:tc>
        <w:tc>
          <w:tcPr>
            <w:tcW w:type="dxa" w:w="301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7"/>
              </w:rPr>
              <w:t>Keep if avoiding database-related code and migration work is the priority.</w:t>
            </w:r>
          </w:p>
        </w:tc>
      </w:tr>
      <w:tr>
        <w:trPr>
          <w:cantSplit w:val="true"/>
          <w:cantSplit w:val="true"/>
        </w:trPr>
        <w:tc>
          <w:tcPr>
            <w:tcW w:type="dxa" w:w="1700"/>
            <w:vAlign w:val="center"/>
            <w:tcMar>
              <w:top w:w="90" w:type="dxa"/>
              <w:bottom w:w="90" w:type="dxa"/>
              <w:start w:w="110" w:type="dxa"/>
              <w:end w:w="110" w:type="dxa"/>
            </w:tcMar>
          </w:tcPr>
          <w:p>
            <w:pPr>
              <w:spacing w:after="0" w:line="240" w:lineRule="auto"/>
            </w:pPr>
            <w:r>
              <w:rPr>
                <w:rFonts w:ascii="Calibri" w:hAnsi="Calibri"/>
                <w:b w:val="0"/>
                <w:i w:val="0"/>
                <w:color w:val="111111"/>
                <w:sz w:val="17"/>
              </w:rPr>
              <w:t>Azure Database for PostgreSQL</w:t>
            </w:r>
          </w:p>
        </w:tc>
        <w:tc>
          <w:tcPr>
            <w:tcW w:type="dxa" w:w="2100"/>
            <w:vAlign w:val="center"/>
            <w:tcMar>
              <w:top w:w="90" w:type="dxa"/>
              <w:bottom w:w="90" w:type="dxa"/>
              <w:start w:w="110" w:type="dxa"/>
              <w:end w:w="110" w:type="dxa"/>
            </w:tcMar>
          </w:tcPr>
          <w:p>
            <w:pPr>
              <w:spacing w:after="0" w:line="240" w:lineRule="auto"/>
            </w:pPr>
            <w:r>
              <w:rPr>
                <w:rFonts w:ascii="Calibri" w:hAnsi="Calibri"/>
                <w:b w:val="0"/>
                <w:i w:val="0"/>
                <w:color w:val="111111"/>
                <w:sz w:val="17"/>
              </w:rPr>
              <w:t>Usage-based; a small Burstable instance commonly starts around $15–30/month before storage/backup, depending on region.</w:t>
            </w:r>
          </w:p>
        </w:tc>
        <w:tc>
          <w:tcPr>
            <w:tcW w:type="dxa" w:w="2650"/>
            <w:vAlign w:val="center"/>
            <w:tcMar>
              <w:top w:w="90" w:type="dxa"/>
              <w:bottom w:w="90" w:type="dxa"/>
              <w:start w:w="110" w:type="dxa"/>
              <w:end w:w="110" w:type="dxa"/>
            </w:tcMar>
          </w:tcPr>
          <w:p>
            <w:pPr>
              <w:spacing w:after="0" w:line="240" w:lineRule="auto"/>
            </w:pPr>
            <w:r>
              <w:rPr>
                <w:rFonts w:ascii="Calibri" w:hAnsi="Calibri"/>
                <w:b w:val="0"/>
                <w:i w:val="0"/>
                <w:color w:val="111111"/>
                <w:sz w:val="17"/>
              </w:rPr>
              <w:t>Useful if compute is also hosted in Azure.</w:t>
            </w:r>
          </w:p>
        </w:tc>
        <w:tc>
          <w:tcPr>
            <w:tcW w:type="dxa" w:w="3010"/>
            <w:vAlign w:val="center"/>
            <w:tcMar>
              <w:top w:w="90" w:type="dxa"/>
              <w:bottom w:w="90" w:type="dxa"/>
              <w:start w:w="110" w:type="dxa"/>
              <w:end w:w="110" w:type="dxa"/>
            </w:tcMar>
          </w:tcPr>
          <w:p>
            <w:pPr>
              <w:spacing w:after="0" w:line="240" w:lineRule="auto"/>
            </w:pPr>
            <w:r>
              <w:rPr>
                <w:rFonts w:ascii="Calibri" w:hAnsi="Calibri"/>
                <w:b w:val="0"/>
                <w:i w:val="0"/>
                <w:color w:val="111111"/>
                <w:sz w:val="17"/>
              </w:rPr>
              <w:t>Also requires changing the Prisma provider from CockroachDB to PostgreSQL and validating migrations.</w:t>
            </w:r>
          </w:p>
        </w:tc>
      </w:tr>
      <w:tr>
        <w:trPr>
          <w:cantSplit w:val="true"/>
          <w:cantSplit w:val="true"/>
        </w:trPr>
        <w:tc>
          <w:tcPr>
            <w:tcW w:type="dxa" w:w="17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7"/>
              </w:rPr>
              <w:t>Render Postgres</w:t>
            </w:r>
          </w:p>
        </w:tc>
        <w:tc>
          <w:tcPr>
            <w:tcW w:type="dxa" w:w="21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7"/>
              </w:rPr>
              <w:t>Managed PostgreSQL compute is billed separately; flexible-plan storage is $0.30/GB-month. A free 1 GB database exists but expires after 30 days.</w:t>
            </w:r>
          </w:p>
        </w:tc>
        <w:tc>
          <w:tcPr>
            <w:tcW w:type="dxa" w:w="265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7"/>
              </w:rPr>
              <w:t>Convenient when Render hosts the application; private networking and paid-database recovery are available.</w:t>
            </w:r>
          </w:p>
        </w:tc>
        <w:tc>
          <w:tcPr>
            <w:tcW w:type="dxa" w:w="301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7"/>
              </w:rPr>
              <w:t>Not bundled with Render compute. Requires changing Prisma from CockroachDB to PostgreSQL and testing migrations.</w:t>
            </w:r>
          </w:p>
        </w:tc>
      </w:tr>
      <w:tr>
        <w:trPr>
          <w:cantSplit w:val="true"/>
          <w:cantSplit w:val="true"/>
        </w:trPr>
        <w:tc>
          <w:tcPr>
            <w:tcW w:type="dxa" w:w="1700"/>
            <w:vAlign w:val="center"/>
            <w:tcMar>
              <w:top w:w="90" w:type="dxa"/>
              <w:bottom w:w="90" w:type="dxa"/>
              <w:start w:w="110" w:type="dxa"/>
              <w:end w:w="110" w:type="dxa"/>
            </w:tcMar>
          </w:tcPr>
          <w:p>
            <w:pPr>
              <w:spacing w:after="0" w:line="240" w:lineRule="auto"/>
            </w:pPr>
            <w:r>
              <w:rPr>
                <w:rFonts w:ascii="Calibri" w:hAnsi="Calibri"/>
                <w:b w:val="0"/>
                <w:i w:val="0"/>
                <w:color w:val="111111"/>
                <w:sz w:val="17"/>
              </w:rPr>
              <w:t>Railway PostgreSQL</w:t>
            </w:r>
          </w:p>
        </w:tc>
        <w:tc>
          <w:tcPr>
            <w:tcW w:type="dxa" w:w="2100"/>
            <w:vAlign w:val="center"/>
            <w:tcMar>
              <w:top w:w="90" w:type="dxa"/>
              <w:bottom w:w="90" w:type="dxa"/>
              <w:start w:w="110" w:type="dxa"/>
              <w:end w:w="110" w:type="dxa"/>
            </w:tcMar>
          </w:tcPr>
          <w:p>
            <w:pPr>
              <w:spacing w:after="0" w:line="240" w:lineRule="auto"/>
            </w:pPr>
            <w:r>
              <w:rPr>
                <w:rFonts w:ascii="Calibri" w:hAnsi="Calibri"/>
                <w:b w:val="0"/>
                <w:i w:val="0"/>
                <w:color w:val="111111"/>
                <w:sz w:val="17"/>
              </w:rPr>
              <w:t>No separate database subscription: CPU, RAM and volume usage draw from the plan usage credit, then incur usage overage.</w:t>
            </w:r>
          </w:p>
        </w:tc>
        <w:tc>
          <w:tcPr>
            <w:tcW w:type="dxa" w:w="2650"/>
            <w:vAlign w:val="center"/>
            <w:tcMar>
              <w:top w:w="90" w:type="dxa"/>
              <w:bottom w:w="90" w:type="dxa"/>
              <w:start w:w="110" w:type="dxa"/>
              <w:end w:w="110" w:type="dxa"/>
            </w:tcMar>
          </w:tcPr>
          <w:p>
            <w:pPr>
              <w:spacing w:after="0" w:line="240" w:lineRule="auto"/>
            </w:pPr>
            <w:r>
              <w:rPr>
                <w:rFonts w:ascii="Calibri" w:hAnsi="Calibri"/>
                <w:b w:val="0"/>
                <w:i w:val="0"/>
                <w:color w:val="111111"/>
                <w:sz w:val="17"/>
              </w:rPr>
              <w:t>Convenient one-project database with private networking, variables and volume backups.</w:t>
            </w:r>
          </w:p>
        </w:tc>
        <w:tc>
          <w:tcPr>
            <w:tcW w:type="dxa" w:w="3010"/>
            <w:vAlign w:val="center"/>
            <w:tcMar>
              <w:top w:w="90" w:type="dxa"/>
              <w:bottom w:w="90" w:type="dxa"/>
              <w:start w:w="110" w:type="dxa"/>
              <w:end w:w="110" w:type="dxa"/>
            </w:tcMar>
          </w:tcPr>
          <w:p>
            <w:pPr>
              <w:spacing w:after="0" w:line="240" w:lineRule="auto"/>
            </w:pPr>
            <w:r>
              <w:rPr>
                <w:rFonts w:ascii="Calibri" w:hAnsi="Calibri"/>
                <w:b w:val="0"/>
                <w:i w:val="0"/>
                <w:color w:val="111111"/>
                <w:sz w:val="17"/>
              </w:rPr>
              <w:t>Not free or fixed-price. Requires changing Prisma from CockroachDB to PostgreSQL and testing migrations.</w:t>
            </w:r>
          </w:p>
        </w:tc>
      </w:tr>
    </w:tbl>
    <w:p>
      <w:pPr>
        <w:spacing w:after="20"/>
      </w:pPr>
    </w:p>
    <w:p>
      <w:pPr>
        <w:spacing w:before="80" w:after="200"/>
        <w:shd w:fill="FFF4D6"/>
      </w:pPr>
      <w:r>
        <w:rPr>
          <w:rFonts w:ascii="Calibri" w:hAnsi="Calibri"/>
          <w:b/>
          <w:i w:val="0"/>
          <w:color w:val="17365D"/>
          <w:sz w:val="21"/>
        </w:rPr>
        <w:t xml:space="preserve">DATABASE DECISION  </w:t>
      </w:r>
      <w:r>
        <w:rPr>
          <w:rFonts w:ascii="Calibri" w:hAnsi="Calibri"/>
          <w:b w:val="0"/>
          <w:i w:val="0"/>
          <w:color w:val="17365D"/>
          <w:sz w:val="21"/>
        </w:rPr>
        <w:t>For minimum application change, keep CockroachDB. Supabase, Render Postgres and Railway PostgreSQL all require a Prisma provider change, migration setup and regression testing.</w:t>
      </w:r>
    </w:p>
    <w:p>
      <w:pPr>
        <w:pStyle w:val="Heading1"/>
      </w:pPr>
      <w:r>
        <w:t>4. Private document storage</w:t>
      </w:r>
    </w:p>
    <w:p>
      <w:pPr>
        <w:spacing w:after="120"/>
      </w:pPr>
      <w:r>
        <w:rPr>
          <w:rFonts w:ascii="Calibri" w:hAnsi="Calibri"/>
          <w:b w:val="0"/>
          <w:i w:val="0"/>
          <w:color w:val="111111"/>
          <w:sz w:val="21"/>
        </w:rPr>
        <w:t>Passport scans and customer documents must remain private. Files should be accessed only through short-lived signed URLs or an authenticated API; buckets/containers must never be public.</w:t>
      </w:r>
    </w:p>
    <w:tbl>
      <w:tblPr>
        <w:tblStyle w:val="TableGrid"/>
        <w:tblW w:type="auto" w:w="0"/>
        <w:jc w:val="left"/>
        <w:tblLayout w:type="fixed"/>
        <w:tblLook w:firstColumn="1" w:firstRow="1" w:lastColumn="0" w:lastRow="0" w:noHBand="0" w:noVBand="1" w:val="04A0"/>
      </w:tblPr>
      <w:tblGrid>
        <w:gridCol w:w="1900"/>
        <w:gridCol w:w="2200"/>
        <w:gridCol w:w="2750"/>
        <w:gridCol w:w="2610"/>
      </w:tblGrid>
      <w:tr>
        <w:trPr>
          <w:tblHeader w:val="true"/>
          <w:cantSplit w:val="true"/>
        </w:trPr>
        <w:tc>
          <w:tcPr>
            <w:tcW w:type="dxa" w:w="1900"/>
            <w:shd w:fill="17365D"/>
            <w:tcMar>
              <w:top w:w="90" w:type="dxa"/>
              <w:bottom w:w="90" w:type="dxa"/>
              <w:start w:w="110" w:type="dxa"/>
              <w:end w:w="110" w:type="dxa"/>
            </w:tcMar>
          </w:tcPr>
          <w:p>
            <w:r>
              <w:rPr>
                <w:rFonts w:ascii="Calibri" w:hAnsi="Calibri"/>
                <w:b/>
                <w:i w:val="0"/>
                <w:color w:val="FFFFFF"/>
                <w:sz w:val="16"/>
              </w:rPr>
              <w:t>Option</w:t>
            </w:r>
          </w:p>
        </w:tc>
        <w:tc>
          <w:tcPr>
            <w:tcW w:type="dxa" w:w="2200"/>
            <w:shd w:fill="17365D"/>
            <w:tcMar>
              <w:top w:w="90" w:type="dxa"/>
              <w:bottom w:w="90" w:type="dxa"/>
              <w:start w:w="110" w:type="dxa"/>
              <w:end w:w="110" w:type="dxa"/>
            </w:tcMar>
          </w:tcPr>
          <w:p>
            <w:r>
              <w:rPr>
                <w:rFonts w:ascii="Calibri" w:hAnsi="Calibri"/>
                <w:b/>
                <w:i w:val="0"/>
                <w:color w:val="FFFFFF"/>
                <w:sz w:val="16"/>
              </w:rPr>
              <w:t>Indicative pricing</w:t>
            </w:r>
          </w:p>
        </w:tc>
        <w:tc>
          <w:tcPr>
            <w:tcW w:type="dxa" w:w="2750"/>
            <w:shd w:fill="17365D"/>
            <w:tcMar>
              <w:top w:w="90" w:type="dxa"/>
              <w:bottom w:w="90" w:type="dxa"/>
              <w:start w:w="110" w:type="dxa"/>
              <w:end w:w="110" w:type="dxa"/>
            </w:tcMar>
          </w:tcPr>
          <w:p>
            <w:r>
              <w:rPr>
                <w:rFonts w:ascii="Calibri" w:hAnsi="Calibri"/>
                <w:b/>
                <w:i w:val="0"/>
                <w:color w:val="FFFFFF"/>
                <w:sz w:val="16"/>
              </w:rPr>
              <w:t>Why use it</w:t>
            </w:r>
          </w:p>
        </w:tc>
        <w:tc>
          <w:tcPr>
            <w:tcW w:type="dxa" w:w="2610"/>
            <w:shd w:fill="17365D"/>
            <w:tcMar>
              <w:top w:w="90" w:type="dxa"/>
              <w:bottom w:w="90" w:type="dxa"/>
              <w:start w:w="110" w:type="dxa"/>
              <w:end w:w="110" w:type="dxa"/>
            </w:tcMar>
          </w:tcPr>
          <w:p>
            <w:r>
              <w:rPr>
                <w:rFonts w:ascii="Calibri" w:hAnsi="Calibri"/>
                <w:b/>
                <w:i w:val="0"/>
                <w:color w:val="FFFFFF"/>
                <w:sz w:val="16"/>
              </w:rPr>
              <w:t>Required controls</w:t>
            </w:r>
          </w:p>
        </w:tc>
      </w:tr>
      <w:tr>
        <w:trPr>
          <w:cantSplit w:val="true"/>
          <w:cantSplit w:val="true"/>
        </w:trPr>
        <w:tc>
          <w:tcPr>
            <w:tcW w:type="dxa" w:w="1900"/>
            <w:vAlign w:val="center"/>
            <w:tcMar>
              <w:top w:w="90" w:type="dxa"/>
              <w:bottom w:w="90" w:type="dxa"/>
              <w:start w:w="110" w:type="dxa"/>
              <w:end w:w="110" w:type="dxa"/>
            </w:tcMar>
          </w:tcPr>
          <w:p>
            <w:pPr>
              <w:spacing w:after="0" w:line="240" w:lineRule="auto"/>
            </w:pPr>
            <w:r>
              <w:rPr>
                <w:rFonts w:ascii="Calibri" w:hAnsi="Calibri"/>
                <w:b w:val="0"/>
                <w:i w:val="0"/>
                <w:color w:val="111111"/>
                <w:sz w:val="16"/>
              </w:rPr>
              <w:t>Amazon S3 Standard</w:t>
            </w:r>
          </w:p>
        </w:tc>
        <w:tc>
          <w:tcPr>
            <w:tcW w:type="dxa" w:w="2200"/>
            <w:vAlign w:val="center"/>
            <w:tcMar>
              <w:top w:w="90" w:type="dxa"/>
              <w:bottom w:w="90" w:type="dxa"/>
              <w:start w:w="110" w:type="dxa"/>
              <w:end w:w="110" w:type="dxa"/>
            </w:tcMar>
          </w:tcPr>
          <w:p>
            <w:pPr>
              <w:spacing w:after="0" w:line="240" w:lineRule="auto"/>
            </w:pPr>
            <w:r>
              <w:rPr>
                <w:rFonts w:ascii="Calibri" w:hAnsi="Calibri"/>
                <w:b w:val="0"/>
                <w:i w:val="0"/>
                <w:color w:val="111111"/>
                <w:sz w:val="16"/>
              </w:rPr>
              <w:t>About $0.023 per GB-month in common US regions, plus request and data-transfer charges. Example: 100 GB storage ≈ $2.30/month before requests/egress.</w:t>
            </w:r>
          </w:p>
        </w:tc>
        <w:tc>
          <w:tcPr>
            <w:tcW w:type="dxa" w:w="2750"/>
            <w:vAlign w:val="center"/>
            <w:tcMar>
              <w:top w:w="90" w:type="dxa"/>
              <w:bottom w:w="90" w:type="dxa"/>
              <w:start w:w="110" w:type="dxa"/>
              <w:end w:w="110" w:type="dxa"/>
            </w:tcMar>
          </w:tcPr>
          <w:p>
            <w:pPr>
              <w:spacing w:after="0" w:line="240" w:lineRule="auto"/>
            </w:pPr>
            <w:r>
              <w:rPr>
                <w:rFonts w:ascii="Calibri" w:hAnsi="Calibri"/>
                <w:b w:val="0"/>
                <w:i w:val="0"/>
                <w:color w:val="111111"/>
                <w:sz w:val="16"/>
              </w:rPr>
              <w:t>Mature, durable private object storage with signed URLs and lifecycle rules.</w:t>
            </w:r>
          </w:p>
        </w:tc>
        <w:tc>
          <w:tcPr>
            <w:tcW w:type="dxa" w:w="2610"/>
            <w:vAlign w:val="center"/>
            <w:tcMar>
              <w:top w:w="90" w:type="dxa"/>
              <w:bottom w:w="90" w:type="dxa"/>
              <w:start w:w="110" w:type="dxa"/>
              <w:end w:w="110" w:type="dxa"/>
            </w:tcMar>
          </w:tcPr>
          <w:p>
            <w:pPr>
              <w:spacing w:after="0" w:line="240" w:lineRule="auto"/>
            </w:pPr>
            <w:r>
              <w:rPr>
                <w:rFonts w:ascii="Calibri" w:hAnsi="Calibri"/>
                <w:b w:val="0"/>
                <w:i w:val="0"/>
                <w:color w:val="111111"/>
                <w:sz w:val="16"/>
              </w:rPr>
              <w:t>Block Public Access, server-side encryption, least-privilege IAM user/role, versioning and lifecycle policy.</w:t>
            </w:r>
          </w:p>
        </w:tc>
      </w:tr>
      <w:tr>
        <w:trPr>
          <w:cantSplit w:val="true"/>
          <w:cantSplit w:val="true"/>
        </w:trPr>
        <w:tc>
          <w:tcPr>
            <w:tcW w:type="dxa" w:w="19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Azure Blob Storage (Hot, LRS)</w:t>
            </w:r>
          </w:p>
        </w:tc>
        <w:tc>
          <w:tcPr>
            <w:tcW w:type="dxa" w:w="22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Often around $0.018–$0.025 per GB-month depending on region, redundancy and access tier, plus operations/egress.</w:t>
            </w:r>
          </w:p>
        </w:tc>
        <w:tc>
          <w:tcPr>
            <w:tcW w:type="dxa" w:w="275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Natural choice with Azure compute; supports private containers and SAS URLs.</w:t>
            </w:r>
          </w:p>
        </w:tc>
        <w:tc>
          <w:tcPr>
            <w:tcW w:type="dxa" w:w="261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Private container, managed identity or narrow service principal, encryption, soft delete and lifecycle policy.</w:t>
            </w:r>
          </w:p>
        </w:tc>
      </w:tr>
      <w:tr>
        <w:trPr>
          <w:cantSplit w:val="true"/>
          <w:cantSplit w:val="true"/>
        </w:trPr>
        <w:tc>
          <w:tcPr>
            <w:tcW w:type="dxa" w:w="1900"/>
            <w:vAlign w:val="center"/>
            <w:tcMar>
              <w:top w:w="90" w:type="dxa"/>
              <w:bottom w:w="90" w:type="dxa"/>
              <w:start w:w="110" w:type="dxa"/>
              <w:end w:w="110" w:type="dxa"/>
            </w:tcMar>
          </w:tcPr>
          <w:p>
            <w:pPr>
              <w:spacing w:after="0" w:line="240" w:lineRule="auto"/>
            </w:pPr>
            <w:r>
              <w:rPr>
                <w:rFonts w:ascii="Calibri" w:hAnsi="Calibri"/>
                <w:b w:val="0"/>
                <w:i w:val="0"/>
                <w:color w:val="111111"/>
                <w:sz w:val="16"/>
              </w:rPr>
              <w:t>Supabase Storage</w:t>
            </w:r>
          </w:p>
        </w:tc>
        <w:tc>
          <w:tcPr>
            <w:tcW w:type="dxa" w:w="2200"/>
            <w:vAlign w:val="center"/>
            <w:tcMar>
              <w:top w:w="90" w:type="dxa"/>
              <w:bottom w:w="90" w:type="dxa"/>
              <w:start w:w="110" w:type="dxa"/>
              <w:end w:w="110" w:type="dxa"/>
            </w:tcMar>
          </w:tcPr>
          <w:p>
            <w:pPr>
              <w:spacing w:after="0" w:line="240" w:lineRule="auto"/>
            </w:pPr>
            <w:r>
              <w:rPr>
                <w:rFonts w:ascii="Calibri" w:hAnsi="Calibri"/>
                <w:b w:val="0"/>
                <w:i w:val="0"/>
                <w:color w:val="111111"/>
                <w:sz w:val="16"/>
              </w:rPr>
              <w:t>Included with Supabase plans: Free includes 1 GB; Pro includes 100 GB, then published overage about $0.0213/GB.</w:t>
            </w:r>
          </w:p>
        </w:tc>
        <w:tc>
          <w:tcPr>
            <w:tcW w:type="dxa" w:w="2750"/>
            <w:vAlign w:val="center"/>
            <w:tcMar>
              <w:top w:w="90" w:type="dxa"/>
              <w:bottom w:w="90" w:type="dxa"/>
              <w:start w:w="110" w:type="dxa"/>
              <w:end w:w="110" w:type="dxa"/>
            </w:tcMar>
          </w:tcPr>
          <w:p>
            <w:pPr>
              <w:spacing w:after="0" w:line="240" w:lineRule="auto"/>
            </w:pPr>
            <w:r>
              <w:rPr>
                <w:rFonts w:ascii="Calibri" w:hAnsi="Calibri"/>
                <w:b w:val="0"/>
                <w:i w:val="0"/>
                <w:color w:val="111111"/>
                <w:sz w:val="16"/>
              </w:rPr>
              <w:t>Convenient if Supabase is selected for the database and the team wants one console.</w:t>
            </w:r>
          </w:p>
        </w:tc>
        <w:tc>
          <w:tcPr>
            <w:tcW w:type="dxa" w:w="2610"/>
            <w:vAlign w:val="center"/>
            <w:tcMar>
              <w:top w:w="90" w:type="dxa"/>
              <w:bottom w:w="90" w:type="dxa"/>
              <w:start w:w="110" w:type="dxa"/>
              <w:end w:w="110" w:type="dxa"/>
            </w:tcMar>
          </w:tcPr>
          <w:p>
            <w:pPr>
              <w:spacing w:after="0" w:line="240" w:lineRule="auto"/>
            </w:pPr>
            <w:r>
              <w:rPr>
                <w:rFonts w:ascii="Calibri" w:hAnsi="Calibri"/>
                <w:b w:val="0"/>
                <w:i w:val="0"/>
                <w:color w:val="111111"/>
                <w:sz w:val="16"/>
              </w:rPr>
              <w:t>Use private buckets and signed URLs. Confirm sensitive-document controls and data region before selection.</w:t>
            </w:r>
          </w:p>
        </w:tc>
      </w:tr>
      <w:tr>
        <w:trPr>
          <w:cantSplit w:val="true"/>
          <w:cantSplit w:val="true"/>
        </w:trPr>
        <w:tc>
          <w:tcPr>
            <w:tcW w:type="dxa" w:w="19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Cloudinary</w:t>
            </w:r>
          </w:p>
        </w:tc>
        <w:tc>
          <w:tcPr>
            <w:tcW w:type="dxa" w:w="22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Free: $0 with 25 monthly credits. Plus: $99/month monthly or $89/month billed yearly, with 225 credits. One credit can equal 1 GB storage, 1 GB image bandwidth, or 1,000 transformations.</w:t>
            </w:r>
          </w:p>
        </w:tc>
        <w:tc>
          <w:tcPr>
            <w:tcW w:type="dxa" w:w="275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Lowest-change option because the application already integrates with Cloudinary; also useful when document previews or image transformations are needed.</w:t>
            </w:r>
          </w:p>
        </w:tc>
        <w:tc>
          <w:tcPr>
            <w:tcW w:type="dxa" w:w="261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Store assets as authenticated/private resources, generate signed delivery URLs, restrict access, and verify raw-file size limits for passport documents.</w:t>
            </w:r>
          </w:p>
        </w:tc>
      </w:tr>
      <w:tr>
        <w:trPr>
          <w:cantSplit w:val="true"/>
          <w:cantSplit w:val="true"/>
        </w:trPr>
        <w:tc>
          <w:tcPr>
            <w:tcW w:type="dxa" w:w="1900"/>
            <w:vAlign w:val="center"/>
            <w:tcMar>
              <w:top w:w="90" w:type="dxa"/>
              <w:bottom w:w="90" w:type="dxa"/>
              <w:start w:w="110" w:type="dxa"/>
              <w:end w:w="110" w:type="dxa"/>
            </w:tcMar>
          </w:tcPr>
          <w:p>
            <w:pPr>
              <w:spacing w:after="0" w:line="240" w:lineRule="auto"/>
            </w:pPr>
            <w:r>
              <w:rPr>
                <w:rFonts w:ascii="Calibri" w:hAnsi="Calibri"/>
                <w:b w:val="0"/>
                <w:i w:val="0"/>
                <w:color w:val="111111"/>
                <w:sz w:val="16"/>
              </w:rPr>
              <w:t>Railway Object Storage</w:t>
            </w:r>
          </w:p>
        </w:tc>
        <w:tc>
          <w:tcPr>
            <w:tcW w:type="dxa" w:w="2200"/>
            <w:vAlign w:val="center"/>
            <w:tcMar>
              <w:top w:w="90" w:type="dxa"/>
              <w:bottom w:w="90" w:type="dxa"/>
              <w:start w:w="110" w:type="dxa"/>
              <w:end w:w="110" w:type="dxa"/>
            </w:tcMar>
          </w:tcPr>
          <w:p>
            <w:pPr>
              <w:spacing w:after="0" w:line="240" w:lineRule="auto"/>
            </w:pPr>
            <w:r>
              <w:rPr>
                <w:rFonts w:ascii="Calibri" w:hAnsi="Calibri"/>
                <w:b w:val="0"/>
                <w:i w:val="0"/>
                <w:color w:val="111111"/>
                <w:sz w:val="16"/>
              </w:rPr>
              <w:t>$0.015 per GB-month with free bucket egress and free Class A/B operations. Usage contributes to the Railway plan bill.</w:t>
            </w:r>
          </w:p>
        </w:tc>
        <w:tc>
          <w:tcPr>
            <w:tcW w:type="dxa" w:w="2750"/>
            <w:vAlign w:val="center"/>
            <w:tcMar>
              <w:top w:w="90" w:type="dxa"/>
              <w:bottom w:w="90" w:type="dxa"/>
              <w:start w:w="110" w:type="dxa"/>
              <w:end w:w="110" w:type="dxa"/>
            </w:tcMar>
          </w:tcPr>
          <w:p>
            <w:pPr>
              <w:spacing w:after="0" w:line="240" w:lineRule="auto"/>
            </w:pPr>
            <w:r>
              <w:rPr>
                <w:rFonts w:ascii="Calibri" w:hAnsi="Calibri"/>
                <w:b w:val="0"/>
                <w:i w:val="0"/>
                <w:color w:val="111111"/>
                <w:sz w:val="16"/>
              </w:rPr>
              <w:t>Low-cost S3-compatible storage beside Railway-hosted compute and databases.</w:t>
            </w:r>
          </w:p>
        </w:tc>
        <w:tc>
          <w:tcPr>
            <w:tcW w:type="dxa" w:w="2610"/>
            <w:vAlign w:val="center"/>
            <w:tcMar>
              <w:top w:w="90" w:type="dxa"/>
              <w:bottom w:w="90" w:type="dxa"/>
              <w:start w:w="110" w:type="dxa"/>
              <w:end w:w="110" w:type="dxa"/>
            </w:tcMar>
          </w:tcPr>
          <w:p>
            <w:pPr>
              <w:spacing w:after="0" w:line="240" w:lineRule="auto"/>
            </w:pPr>
            <w:r>
              <w:rPr>
                <w:rFonts w:ascii="Calibri" w:hAnsi="Calibri"/>
                <w:b w:val="0"/>
                <w:i w:val="0"/>
                <w:color w:val="111111"/>
                <w:sz w:val="16"/>
              </w:rPr>
              <w:t>Use a private bucket and scoped S3 credentials. It is metered usage, not additional free storage bundled with Pro.</w:t>
            </w:r>
          </w:p>
        </w:tc>
      </w:tr>
      <w:tr>
        <w:trPr>
          <w:cantSplit w:val="true"/>
          <w:cantSplit w:val="true"/>
        </w:trPr>
        <w:tc>
          <w:tcPr>
            <w:tcW w:type="dxa" w:w="19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Render Persistent Disk</w:t>
            </w:r>
          </w:p>
        </w:tc>
        <w:tc>
          <w:tcPr>
            <w:tcW w:type="dxa" w:w="22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Storage attached to a Render service; Render Postgres storage is separately priced at $0.30/GB-month.</w:t>
            </w:r>
          </w:p>
        </w:tc>
        <w:tc>
          <w:tcPr>
            <w:tcW w:type="dxa" w:w="275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Useful for service-local persistent files or a custom storage service.</w:t>
            </w:r>
          </w:p>
        </w:tc>
        <w:tc>
          <w:tcPr>
            <w:tcW w:type="dxa" w:w="261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Not managed object storage and not ideal for passport documents across replicas. Prefer Cloudinary, S3, Azure Blob, Supabase or Railway Object Storage.</w:t>
            </w:r>
          </w:p>
        </w:tc>
      </w:tr>
    </w:tbl>
    <w:p>
      <w:pPr>
        <w:spacing w:after="20"/>
      </w:pPr>
    </w:p>
    <w:p>
      <w:pPr>
        <w:spacing w:before="80" w:after="200"/>
        <w:shd w:fill="EAF2F8"/>
      </w:pPr>
      <w:r>
        <w:rPr>
          <w:rFonts w:ascii="Calibri" w:hAnsi="Calibri"/>
          <w:b/>
          <w:i w:val="0"/>
          <w:color w:val="17365D"/>
          <w:sz w:val="21"/>
        </w:rPr>
        <w:t xml:space="preserve">STORAGE SHORTLIST  </w:t>
      </w:r>
      <w:r>
        <w:rPr>
          <w:rFonts w:ascii="Calibri" w:hAnsi="Calibri"/>
          <w:b w:val="0"/>
          <w:i w:val="0"/>
          <w:color w:val="17365D"/>
          <w:sz w:val="21"/>
        </w:rPr>
        <w:t>Cloudinary is the lowest-change option. Railway Object Storage is attractive with Railway compute. Prefer S3 for independent object storage, Azure Blob with Azure, or Supabase Storage with Supabase. Render disks are not the preferred private-document store.</w:t>
      </w:r>
    </w:p>
    <w:p>
      <w:pPr>
        <w:pStyle w:val="Heading1"/>
      </w:pPr>
      <w:r>
        <w:t>5. Authentication and supporting services</w:t>
      </w:r>
    </w:p>
    <w:tbl>
      <w:tblPr>
        <w:tblStyle w:val="TableGrid"/>
        <w:tblW w:type="auto" w:w="0"/>
        <w:jc w:val="left"/>
        <w:tblLayout w:type="fixed"/>
        <w:tblLook w:firstColumn="1" w:firstRow="1" w:lastColumn="0" w:lastRow="0" w:noHBand="0" w:noVBand="1" w:val="04A0"/>
      </w:tblPr>
      <w:tblGrid>
        <w:gridCol w:w="1400"/>
        <w:gridCol w:w="2450"/>
        <w:gridCol w:w="2100"/>
        <w:gridCol w:w="3010"/>
      </w:tblGrid>
      <w:tr>
        <w:trPr>
          <w:tblHeader w:val="true"/>
          <w:cantSplit w:val="true"/>
        </w:trPr>
        <w:tc>
          <w:tcPr>
            <w:tcW w:type="dxa" w:w="1400"/>
            <w:shd w:fill="17365D"/>
            <w:tcMar>
              <w:top w:w="90" w:type="dxa"/>
              <w:bottom w:w="90" w:type="dxa"/>
              <w:start w:w="110" w:type="dxa"/>
              <w:end w:w="110" w:type="dxa"/>
            </w:tcMar>
          </w:tcPr>
          <w:p>
            <w:r>
              <w:rPr>
                <w:rFonts w:ascii="Calibri" w:hAnsi="Calibri"/>
                <w:b/>
                <w:i w:val="0"/>
                <w:color w:val="FFFFFF"/>
                <w:sz w:val="17"/>
              </w:rPr>
              <w:t>Need</w:t>
            </w:r>
          </w:p>
        </w:tc>
        <w:tc>
          <w:tcPr>
            <w:tcW w:type="dxa" w:w="2450"/>
            <w:shd w:fill="17365D"/>
            <w:tcMar>
              <w:top w:w="90" w:type="dxa"/>
              <w:bottom w:w="90" w:type="dxa"/>
              <w:start w:w="110" w:type="dxa"/>
              <w:end w:w="110" w:type="dxa"/>
            </w:tcMar>
          </w:tcPr>
          <w:p>
            <w:r>
              <w:rPr>
                <w:rFonts w:ascii="Calibri" w:hAnsi="Calibri"/>
                <w:b/>
                <w:i w:val="0"/>
                <w:color w:val="FFFFFF"/>
                <w:sz w:val="17"/>
              </w:rPr>
              <w:t>Recommended service</w:t>
            </w:r>
          </w:p>
        </w:tc>
        <w:tc>
          <w:tcPr>
            <w:tcW w:type="dxa" w:w="2100"/>
            <w:shd w:fill="17365D"/>
            <w:tcMar>
              <w:top w:w="90" w:type="dxa"/>
              <w:bottom w:w="90" w:type="dxa"/>
              <w:start w:w="110" w:type="dxa"/>
              <w:end w:w="110" w:type="dxa"/>
            </w:tcMar>
          </w:tcPr>
          <w:p>
            <w:r>
              <w:rPr>
                <w:rFonts w:ascii="Calibri" w:hAnsi="Calibri"/>
                <w:b/>
                <w:i w:val="0"/>
                <w:color w:val="FFFFFF"/>
                <w:sz w:val="17"/>
              </w:rPr>
              <w:t>Price indication</w:t>
            </w:r>
          </w:p>
        </w:tc>
        <w:tc>
          <w:tcPr>
            <w:tcW w:type="dxa" w:w="3010"/>
            <w:shd w:fill="17365D"/>
            <w:tcMar>
              <w:top w:w="90" w:type="dxa"/>
              <w:bottom w:w="90" w:type="dxa"/>
              <w:start w:w="110" w:type="dxa"/>
              <w:end w:w="110" w:type="dxa"/>
            </w:tcMar>
          </w:tcPr>
          <w:p>
            <w:r>
              <w:rPr>
                <w:rFonts w:ascii="Calibri" w:hAnsi="Calibri"/>
                <w:b/>
                <w:i w:val="0"/>
                <w:color w:val="FFFFFF"/>
                <w:sz w:val="17"/>
              </w:rPr>
              <w:t>Notes</w:t>
            </w:r>
          </w:p>
        </w:tc>
      </w:tr>
      <w:tr>
        <w:trPr>
          <w:cantSplit w:val="true"/>
          <w:cantSplit w:val="true"/>
        </w:trPr>
        <w:tc>
          <w:tcPr>
            <w:tcW w:type="dxa" w:w="1400"/>
            <w:vAlign w:val="center"/>
            <w:tcMar>
              <w:top w:w="90" w:type="dxa"/>
              <w:bottom w:w="90" w:type="dxa"/>
              <w:start w:w="110" w:type="dxa"/>
              <w:end w:w="110" w:type="dxa"/>
            </w:tcMar>
          </w:tcPr>
          <w:p>
            <w:pPr>
              <w:spacing w:after="0" w:line="240" w:lineRule="auto"/>
            </w:pPr>
            <w:r>
              <w:rPr>
                <w:rFonts w:ascii="Calibri" w:hAnsi="Calibri"/>
                <w:b w:val="0"/>
                <w:i w:val="0"/>
                <w:color w:val="111111"/>
                <w:sz w:val="17"/>
              </w:rPr>
              <w:t>Authentication</w:t>
            </w:r>
          </w:p>
        </w:tc>
        <w:tc>
          <w:tcPr>
            <w:tcW w:type="dxa" w:w="2450"/>
            <w:vAlign w:val="center"/>
            <w:tcMar>
              <w:top w:w="90" w:type="dxa"/>
              <w:bottom w:w="90" w:type="dxa"/>
              <w:start w:w="110" w:type="dxa"/>
              <w:end w:w="110" w:type="dxa"/>
            </w:tcMar>
          </w:tcPr>
          <w:p>
            <w:pPr>
              <w:spacing w:after="0" w:line="240" w:lineRule="auto"/>
            </w:pPr>
            <w:r>
              <w:rPr>
                <w:rFonts w:ascii="Calibri" w:hAnsi="Calibri"/>
                <w:b w:val="0"/>
                <w:i w:val="0"/>
                <w:color w:val="111111"/>
                <w:sz w:val="17"/>
              </w:rPr>
              <w:t>Clerk</w:t>
            </w:r>
          </w:p>
        </w:tc>
        <w:tc>
          <w:tcPr>
            <w:tcW w:type="dxa" w:w="2100"/>
            <w:vAlign w:val="center"/>
            <w:tcMar>
              <w:top w:w="90" w:type="dxa"/>
              <w:bottom w:w="90" w:type="dxa"/>
              <w:start w:w="110" w:type="dxa"/>
              <w:end w:w="110" w:type="dxa"/>
            </w:tcMar>
          </w:tcPr>
          <w:p>
            <w:pPr>
              <w:spacing w:after="0" w:line="240" w:lineRule="auto"/>
            </w:pPr>
            <w:r>
              <w:rPr>
                <w:rFonts w:ascii="Calibri" w:hAnsi="Calibri"/>
                <w:b w:val="0"/>
                <w:i w:val="0"/>
                <w:color w:val="111111"/>
                <w:sz w:val="17"/>
              </w:rPr>
              <w:t>Hobby $0 up to published free-tier limits; Pro $20/month billed annually.</w:t>
            </w:r>
          </w:p>
        </w:tc>
        <w:tc>
          <w:tcPr>
            <w:tcW w:type="dxa" w:w="3010"/>
            <w:vAlign w:val="center"/>
            <w:tcMar>
              <w:top w:w="90" w:type="dxa"/>
              <w:bottom w:w="90" w:type="dxa"/>
              <w:start w:w="110" w:type="dxa"/>
              <w:end w:w="110" w:type="dxa"/>
            </w:tcMar>
          </w:tcPr>
          <w:p>
            <w:pPr>
              <w:spacing w:after="0" w:line="240" w:lineRule="auto"/>
            </w:pPr>
            <w:r>
              <w:rPr>
                <w:rFonts w:ascii="Calibri" w:hAnsi="Calibri"/>
                <w:b w:val="0"/>
                <w:i w:val="0"/>
                <w:color w:val="111111"/>
                <w:sz w:val="17"/>
              </w:rPr>
              <w:t>Keep Clerk for now; separate production and staging applications/keys.</w:t>
            </w:r>
          </w:p>
        </w:tc>
      </w:tr>
      <w:tr>
        <w:trPr>
          <w:cantSplit w:val="true"/>
          <w:cantSplit w:val="true"/>
        </w:trPr>
        <w:tc>
          <w:tcPr>
            <w:tcW w:type="dxa" w:w="14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7"/>
              </w:rPr>
              <w:t>Redis / job queue</w:t>
            </w:r>
          </w:p>
        </w:tc>
        <w:tc>
          <w:tcPr>
            <w:tcW w:type="dxa" w:w="245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7"/>
              </w:rPr>
              <w:t>Upstash Redis, Render Key Value, Railway Redis, Azure Cache for Redis, or another TCP Redis provider</w:t>
            </w:r>
          </w:p>
        </w:tc>
        <w:tc>
          <w:tcPr>
            <w:tcW w:type="dxa" w:w="21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7"/>
              </w:rPr>
              <w:t>Upstash: Free 256 MB/500K commands; pay-as-you-go $0.20 per 100K commands; fixed plans from $10/month. Other providers vary by size and region.</w:t>
            </w:r>
          </w:p>
        </w:tc>
        <w:tc>
          <w:tcPr>
            <w:tcW w:type="dxa" w:w="301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7"/>
              </w:rPr>
              <w:t>Upstash provides a TLS Redis endpoint compatible with ioredis and BullMQ. For production SLA, multi-zone HA and encryption at rest, its optional Prod Pack is +$200/month per database.</w:t>
            </w:r>
          </w:p>
        </w:tc>
      </w:tr>
      <w:tr>
        <w:trPr>
          <w:cantSplit w:val="true"/>
          <w:cantSplit w:val="true"/>
        </w:trPr>
        <w:tc>
          <w:tcPr>
            <w:tcW w:type="dxa" w:w="1400"/>
            <w:vAlign w:val="center"/>
            <w:tcMar>
              <w:top w:w="90" w:type="dxa"/>
              <w:bottom w:w="90" w:type="dxa"/>
              <w:start w:w="110" w:type="dxa"/>
              <w:end w:w="110" w:type="dxa"/>
            </w:tcMar>
          </w:tcPr>
          <w:p>
            <w:pPr>
              <w:spacing w:after="0" w:line="240" w:lineRule="auto"/>
            </w:pPr>
            <w:r>
              <w:rPr>
                <w:rFonts w:ascii="Calibri" w:hAnsi="Calibri"/>
                <w:b w:val="0"/>
                <w:i w:val="0"/>
                <w:color w:val="111111"/>
                <w:sz w:val="17"/>
              </w:rPr>
              <w:t>Transactional email</w:t>
            </w:r>
          </w:p>
        </w:tc>
        <w:tc>
          <w:tcPr>
            <w:tcW w:type="dxa" w:w="2450"/>
            <w:vAlign w:val="center"/>
            <w:tcMar>
              <w:top w:w="90" w:type="dxa"/>
              <w:bottom w:w="90" w:type="dxa"/>
              <w:start w:w="110" w:type="dxa"/>
              <w:end w:w="110" w:type="dxa"/>
            </w:tcMar>
          </w:tcPr>
          <w:p>
            <w:pPr>
              <w:spacing w:after="0" w:line="240" w:lineRule="auto"/>
            </w:pPr>
            <w:r>
              <w:rPr>
                <w:rFonts w:ascii="Calibri" w:hAnsi="Calibri"/>
                <w:b w:val="0"/>
                <w:i w:val="0"/>
                <w:color w:val="111111"/>
                <w:sz w:val="17"/>
              </w:rPr>
              <w:t>Resend</w:t>
            </w:r>
          </w:p>
        </w:tc>
        <w:tc>
          <w:tcPr>
            <w:tcW w:type="dxa" w:w="2100"/>
            <w:vAlign w:val="center"/>
            <w:tcMar>
              <w:top w:w="90" w:type="dxa"/>
              <w:bottom w:w="90" w:type="dxa"/>
              <w:start w:w="110" w:type="dxa"/>
              <w:end w:w="110" w:type="dxa"/>
            </w:tcMar>
          </w:tcPr>
          <w:p>
            <w:pPr>
              <w:spacing w:after="0" w:line="240" w:lineRule="auto"/>
            </w:pPr>
            <w:r>
              <w:rPr>
                <w:rFonts w:ascii="Calibri" w:hAnsi="Calibri"/>
                <w:b w:val="0"/>
                <w:i w:val="0"/>
                <w:color w:val="111111"/>
                <w:sz w:val="17"/>
              </w:rPr>
              <w:t>Free tier available; Pro commonly starts around $20/month.</w:t>
            </w:r>
          </w:p>
        </w:tc>
        <w:tc>
          <w:tcPr>
            <w:tcW w:type="dxa" w:w="3010"/>
            <w:vAlign w:val="center"/>
            <w:tcMar>
              <w:top w:w="90" w:type="dxa"/>
              <w:bottom w:w="90" w:type="dxa"/>
              <w:start w:w="110" w:type="dxa"/>
              <w:end w:w="110" w:type="dxa"/>
            </w:tcMar>
          </w:tcPr>
          <w:p>
            <w:pPr>
              <w:spacing w:after="0" w:line="240" w:lineRule="auto"/>
            </w:pPr>
            <w:r>
              <w:rPr>
                <w:rFonts w:ascii="Calibri" w:hAnsi="Calibri"/>
                <w:b w:val="0"/>
                <w:i w:val="0"/>
                <w:color w:val="111111"/>
                <w:sz w:val="17"/>
              </w:rPr>
              <w:t>Needed for OTPs, order updates and operational messages.</w:t>
            </w:r>
          </w:p>
        </w:tc>
      </w:tr>
      <w:tr>
        <w:trPr>
          <w:cantSplit w:val="true"/>
          <w:cantSplit w:val="true"/>
        </w:trPr>
        <w:tc>
          <w:tcPr>
            <w:tcW w:type="dxa" w:w="14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7"/>
              </w:rPr>
              <w:t>DNS and TLS</w:t>
            </w:r>
          </w:p>
        </w:tc>
        <w:tc>
          <w:tcPr>
            <w:tcW w:type="dxa" w:w="245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7"/>
              </w:rPr>
              <w:t>Cloudflare</w:t>
            </w:r>
          </w:p>
        </w:tc>
        <w:tc>
          <w:tcPr>
            <w:tcW w:type="dxa" w:w="21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7"/>
              </w:rPr>
              <w:t>Free plan is normally sufficient initially.</w:t>
            </w:r>
          </w:p>
        </w:tc>
        <w:tc>
          <w:tcPr>
            <w:tcW w:type="dxa" w:w="301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7"/>
              </w:rPr>
              <w:t>Manage visacompassnepal.com DNS and edge TLS.</w:t>
            </w:r>
          </w:p>
        </w:tc>
      </w:tr>
    </w:tbl>
    <w:p>
      <w:pPr>
        <w:spacing w:after="20"/>
      </w:pPr>
    </w:p>
    <w:p>
      <w:pPr>
        <w:pStyle w:val="Heading1"/>
      </w:pPr>
      <w:r>
        <w:t>6. Practical deployment combinations</w:t>
      </w:r>
    </w:p>
    <w:tbl>
      <w:tblPr>
        <w:tblStyle w:val="TableGrid"/>
        <w:tblW w:type="auto" w:w="0"/>
        <w:jc w:val="left"/>
        <w:tblLayout w:type="fixed"/>
        <w:tblLook w:firstColumn="1" w:firstRow="1" w:lastColumn="0" w:lastRow="0" w:noHBand="0" w:noVBand="1" w:val="04A0"/>
      </w:tblPr>
      <w:tblGrid>
        <w:gridCol w:w="1800"/>
        <w:gridCol w:w="2800"/>
        <w:gridCol w:w="2250"/>
        <w:gridCol w:w="2110"/>
      </w:tblGrid>
      <w:tr>
        <w:trPr>
          <w:tblHeader w:val="true"/>
          <w:cantSplit w:val="true"/>
        </w:trPr>
        <w:tc>
          <w:tcPr>
            <w:tcW w:type="dxa" w:w="1800"/>
            <w:shd w:fill="17365D"/>
            <w:tcMar>
              <w:top w:w="90" w:type="dxa"/>
              <w:bottom w:w="90" w:type="dxa"/>
              <w:start w:w="110" w:type="dxa"/>
              <w:end w:w="110" w:type="dxa"/>
            </w:tcMar>
          </w:tcPr>
          <w:p>
            <w:r>
              <w:rPr>
                <w:rFonts w:ascii="Calibri" w:hAnsi="Calibri"/>
                <w:b/>
                <w:i w:val="0"/>
                <w:color w:val="FFFFFF"/>
                <w:sz w:val="16"/>
              </w:rPr>
              <w:t>Combination</w:t>
            </w:r>
          </w:p>
        </w:tc>
        <w:tc>
          <w:tcPr>
            <w:tcW w:type="dxa" w:w="2800"/>
            <w:shd w:fill="17365D"/>
            <w:tcMar>
              <w:top w:w="90" w:type="dxa"/>
              <w:bottom w:w="90" w:type="dxa"/>
              <w:start w:w="110" w:type="dxa"/>
              <w:end w:w="110" w:type="dxa"/>
            </w:tcMar>
          </w:tcPr>
          <w:p>
            <w:r>
              <w:rPr>
                <w:rFonts w:ascii="Calibri" w:hAnsi="Calibri"/>
                <w:b/>
                <w:i w:val="0"/>
                <w:color w:val="FFFFFF"/>
                <w:sz w:val="16"/>
              </w:rPr>
              <w:t>Services</w:t>
            </w:r>
          </w:p>
        </w:tc>
        <w:tc>
          <w:tcPr>
            <w:tcW w:type="dxa" w:w="2250"/>
            <w:shd w:fill="17365D"/>
            <w:tcMar>
              <w:top w:w="90" w:type="dxa"/>
              <w:bottom w:w="90" w:type="dxa"/>
              <w:start w:w="110" w:type="dxa"/>
              <w:end w:w="110" w:type="dxa"/>
            </w:tcMar>
          </w:tcPr>
          <w:p>
            <w:r>
              <w:rPr>
                <w:rFonts w:ascii="Calibri" w:hAnsi="Calibri"/>
                <w:b/>
                <w:i w:val="0"/>
                <w:color w:val="FFFFFF"/>
                <w:sz w:val="16"/>
              </w:rPr>
              <w:t>Indicative monthly platform cost</w:t>
            </w:r>
          </w:p>
        </w:tc>
        <w:tc>
          <w:tcPr>
            <w:tcW w:type="dxa" w:w="2110"/>
            <w:shd w:fill="17365D"/>
            <w:tcMar>
              <w:top w:w="90" w:type="dxa"/>
              <w:bottom w:w="90" w:type="dxa"/>
              <w:start w:w="110" w:type="dxa"/>
              <w:end w:w="110" w:type="dxa"/>
            </w:tcMar>
          </w:tcPr>
          <w:p>
            <w:r>
              <w:rPr>
                <w:rFonts w:ascii="Calibri" w:hAnsi="Calibri"/>
                <w:b/>
                <w:i w:val="0"/>
                <w:color w:val="FFFFFF"/>
                <w:sz w:val="16"/>
              </w:rPr>
              <w:t>Best when</w:t>
            </w:r>
          </w:p>
        </w:tc>
      </w:tr>
      <w:tr>
        <w:trPr>
          <w:cantSplit w:val="true"/>
          <w:cantSplit w:val="true"/>
        </w:trPr>
        <w:tc>
          <w:tcPr>
            <w:tcW w:type="dxa" w:w="1800"/>
            <w:vAlign w:val="center"/>
            <w:tcMar>
              <w:top w:w="90" w:type="dxa"/>
              <w:bottom w:w="90" w:type="dxa"/>
              <w:start w:w="110" w:type="dxa"/>
              <w:end w:w="110" w:type="dxa"/>
            </w:tcMar>
          </w:tcPr>
          <w:p>
            <w:pPr>
              <w:spacing w:after="0" w:line="240" w:lineRule="auto"/>
            </w:pPr>
            <w:r>
              <w:rPr>
                <w:rFonts w:ascii="Calibri" w:hAnsi="Calibri"/>
                <w:b w:val="0"/>
                <w:i w:val="0"/>
                <w:color w:val="111111"/>
                <w:sz w:val="16"/>
              </w:rPr>
              <w:t>A — Minimal-change launch</w:t>
            </w:r>
          </w:p>
        </w:tc>
        <w:tc>
          <w:tcPr>
            <w:tcW w:type="dxa" w:w="2800"/>
            <w:vAlign w:val="center"/>
            <w:tcMar>
              <w:top w:w="90" w:type="dxa"/>
              <w:bottom w:w="90" w:type="dxa"/>
              <w:start w:w="110" w:type="dxa"/>
              <w:end w:w="110" w:type="dxa"/>
            </w:tcMar>
          </w:tcPr>
          <w:p>
            <w:pPr>
              <w:spacing w:after="0" w:line="240" w:lineRule="auto"/>
            </w:pPr>
            <w:r>
              <w:rPr>
                <w:rFonts w:ascii="Calibri" w:hAnsi="Calibri"/>
                <w:b w:val="0"/>
                <w:i w:val="0"/>
                <w:color w:val="111111"/>
                <w:sz w:val="16"/>
              </w:rPr>
              <w:t>Railway or Render compute + CockroachDB + managed Redis + S3 + Clerk</w:t>
            </w:r>
          </w:p>
        </w:tc>
        <w:tc>
          <w:tcPr>
            <w:tcW w:type="dxa" w:w="2250"/>
            <w:vAlign w:val="center"/>
            <w:tcMar>
              <w:top w:w="90" w:type="dxa"/>
              <w:bottom w:w="90" w:type="dxa"/>
              <w:start w:w="110" w:type="dxa"/>
              <w:end w:w="110" w:type="dxa"/>
            </w:tcMar>
          </w:tcPr>
          <w:p>
            <w:pPr>
              <w:spacing w:after="0" w:line="240" w:lineRule="auto"/>
            </w:pPr>
            <w:r>
              <w:rPr>
                <w:rFonts w:ascii="Calibri" w:hAnsi="Calibri"/>
                <w:b w:val="0"/>
                <w:i w:val="0"/>
                <w:color w:val="111111"/>
                <w:sz w:val="16"/>
              </w:rPr>
              <w:t>Approximately $45–100 at low traffic, excluding email/provider transaction fees.</w:t>
            </w:r>
          </w:p>
        </w:tc>
        <w:tc>
          <w:tcPr>
            <w:tcW w:type="dxa" w:w="2110"/>
            <w:vAlign w:val="center"/>
            <w:tcMar>
              <w:top w:w="90" w:type="dxa"/>
              <w:bottom w:w="90" w:type="dxa"/>
              <w:start w:w="110" w:type="dxa"/>
              <w:end w:w="110" w:type="dxa"/>
            </w:tcMar>
          </w:tcPr>
          <w:p>
            <w:pPr>
              <w:spacing w:after="0" w:line="240" w:lineRule="auto"/>
            </w:pPr>
            <w:r>
              <w:rPr>
                <w:rFonts w:ascii="Calibri" w:hAnsi="Calibri"/>
                <w:b w:val="0"/>
                <w:i w:val="0"/>
                <w:color w:val="111111"/>
                <w:sz w:val="16"/>
              </w:rPr>
              <w:t>Launching quickly without changing the current database configuration.</w:t>
            </w:r>
          </w:p>
        </w:tc>
      </w:tr>
      <w:tr>
        <w:trPr>
          <w:cantSplit w:val="true"/>
          <w:cantSplit w:val="true"/>
        </w:trPr>
        <w:tc>
          <w:tcPr>
            <w:tcW w:type="dxa" w:w="18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B — Supabase-focused</w:t>
            </w:r>
          </w:p>
        </w:tc>
        <w:tc>
          <w:tcPr>
            <w:tcW w:type="dxa" w:w="280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Render compute + Supabase Pro DB/Storage + managed Redis + Clerk</w:t>
            </w:r>
          </w:p>
        </w:tc>
        <w:tc>
          <w:tcPr>
            <w:tcW w:type="dxa" w:w="225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Approximately $55–110, plus one-time Prisma migration work.</w:t>
            </w:r>
          </w:p>
        </w:tc>
        <w:tc>
          <w:tcPr>
            <w:tcW w:type="dxa" w:w="2110"/>
            <w:vAlign w:val="center"/>
            <w:tcMar>
              <w:top w:w="90" w:type="dxa"/>
              <w:bottom w:w="90" w:type="dxa"/>
              <w:start w:w="110" w:type="dxa"/>
              <w:end w:w="110" w:type="dxa"/>
            </w:tcMar>
            <w:shd w:fill="F5F7F9"/>
          </w:tcPr>
          <w:p>
            <w:pPr>
              <w:spacing w:after="0" w:line="240" w:lineRule="auto"/>
            </w:pPr>
            <w:r>
              <w:rPr>
                <w:rFonts w:ascii="Calibri" w:hAnsi="Calibri"/>
                <w:b w:val="0"/>
                <w:i w:val="0"/>
                <w:color w:val="111111"/>
                <w:sz w:val="16"/>
              </w:rPr>
              <w:t>The business wants PostgreSQL, database and storage in one service.</w:t>
            </w:r>
          </w:p>
        </w:tc>
      </w:tr>
      <w:tr>
        <w:trPr>
          <w:cantSplit w:val="true"/>
          <w:cantSplit w:val="true"/>
        </w:trPr>
        <w:tc>
          <w:tcPr>
            <w:tcW w:type="dxa" w:w="1800"/>
            <w:vAlign w:val="center"/>
            <w:tcMar>
              <w:top w:w="90" w:type="dxa"/>
              <w:bottom w:w="90" w:type="dxa"/>
              <w:start w:w="110" w:type="dxa"/>
              <w:end w:w="110" w:type="dxa"/>
            </w:tcMar>
          </w:tcPr>
          <w:p>
            <w:pPr>
              <w:spacing w:after="0" w:line="240" w:lineRule="auto"/>
            </w:pPr>
            <w:r>
              <w:rPr>
                <w:rFonts w:ascii="Calibri" w:hAnsi="Calibri"/>
                <w:b w:val="0"/>
                <w:i w:val="0"/>
                <w:color w:val="111111"/>
                <w:sz w:val="16"/>
              </w:rPr>
              <w:t>C — Azure-focused</w:t>
            </w:r>
          </w:p>
        </w:tc>
        <w:tc>
          <w:tcPr>
            <w:tcW w:type="dxa" w:w="2800"/>
            <w:vAlign w:val="center"/>
            <w:tcMar>
              <w:top w:w="90" w:type="dxa"/>
              <w:bottom w:w="90" w:type="dxa"/>
              <w:start w:w="110" w:type="dxa"/>
              <w:end w:w="110" w:type="dxa"/>
            </w:tcMar>
          </w:tcPr>
          <w:p>
            <w:pPr>
              <w:spacing w:after="0" w:line="240" w:lineRule="auto"/>
            </w:pPr>
            <w:r>
              <w:rPr>
                <w:rFonts w:ascii="Calibri" w:hAnsi="Calibri"/>
                <w:b w:val="0"/>
                <w:i w:val="0"/>
                <w:color w:val="111111"/>
                <w:sz w:val="16"/>
              </w:rPr>
              <w:t>Azure App Service + Azure PostgreSQL or CockroachDB + Azure Redis + Blob Storage + Clerk</w:t>
            </w:r>
          </w:p>
        </w:tc>
        <w:tc>
          <w:tcPr>
            <w:tcW w:type="dxa" w:w="2250"/>
            <w:vAlign w:val="center"/>
            <w:tcMar>
              <w:top w:w="90" w:type="dxa"/>
              <w:bottom w:w="90" w:type="dxa"/>
              <w:start w:w="110" w:type="dxa"/>
              <w:end w:w="110" w:type="dxa"/>
            </w:tcMar>
          </w:tcPr>
          <w:p>
            <w:pPr>
              <w:spacing w:after="0" w:line="240" w:lineRule="auto"/>
            </w:pPr>
            <w:r>
              <w:rPr>
                <w:rFonts w:ascii="Calibri" w:hAnsi="Calibri"/>
                <w:b w:val="0"/>
                <w:i w:val="0"/>
                <w:color w:val="111111"/>
                <w:sz w:val="16"/>
              </w:rPr>
              <w:t>Approximately $80–200+ depending on region and service tiers.</w:t>
            </w:r>
          </w:p>
        </w:tc>
        <w:tc>
          <w:tcPr>
            <w:tcW w:type="dxa" w:w="2110"/>
            <w:vAlign w:val="center"/>
            <w:tcMar>
              <w:top w:w="90" w:type="dxa"/>
              <w:bottom w:w="90" w:type="dxa"/>
              <w:start w:w="110" w:type="dxa"/>
              <w:end w:w="110" w:type="dxa"/>
            </w:tcMar>
          </w:tcPr>
          <w:p>
            <w:pPr>
              <w:spacing w:after="0" w:line="240" w:lineRule="auto"/>
            </w:pPr>
            <w:r>
              <w:rPr>
                <w:rFonts w:ascii="Calibri" w:hAnsi="Calibri"/>
                <w:b w:val="0"/>
                <w:i w:val="0"/>
                <w:color w:val="111111"/>
                <w:sz w:val="16"/>
              </w:rPr>
              <w:t>The business already uses Azure or requires centralized Microsoft billing/governance.</w:t>
            </w:r>
          </w:p>
        </w:tc>
      </w:tr>
    </w:tbl>
    <w:p>
      <w:pPr>
        <w:spacing w:after="20"/>
      </w:pPr>
    </w:p>
    <w:p>
      <w:pPr>
        <w:spacing w:after="120"/>
      </w:pPr>
      <w:r>
        <w:rPr>
          <w:rFonts w:ascii="Calibri" w:hAnsi="Calibri"/>
          <w:b w:val="0"/>
          <w:i w:val="0"/>
          <w:color w:val="111111"/>
          <w:sz w:val="21"/>
        </w:rPr>
        <w:t>These estimates cover baseline infrastructure only. They exclude payment-gateway charges, WhatsApp conversation/message fees, eSIM-provider fees, taxes, premium support and unusually high outbound bandwidth.</w:t>
      </w:r>
    </w:p>
    <w:p>
      <w:pPr>
        <w:spacing w:before="80" w:after="200"/>
        <w:shd w:fill="FFF4D6"/>
      </w:pPr>
      <w:r>
        <w:rPr>
          <w:rFonts w:ascii="Calibri" w:hAnsi="Calibri"/>
          <w:b/>
          <w:i w:val="0"/>
          <w:color w:val="17365D"/>
          <w:sz w:val="21"/>
        </w:rPr>
        <w:t xml:space="preserve">PRICING NOTE  </w:t>
      </w:r>
      <w:r>
        <w:rPr>
          <w:rFonts w:ascii="Calibri" w:hAnsi="Calibri"/>
          <w:b w:val="0"/>
          <w:i w:val="0"/>
          <w:color w:val="17365D"/>
          <w:sz w:val="21"/>
        </w:rPr>
        <w:t>The estimates are based on expected early-stage traffic and user volumes. Actual monthly pricing may vary with active users, requests, compute time, memory, database activity, stored files, bandwidth, email volume and other provider usage.</w:t>
      </w:r>
    </w:p>
    <w:p>
      <w:r>
        <w:br w:type="page"/>
      </w:r>
    </w:p>
    <w:p>
      <w:pPr>
        <w:spacing w:after="360"/>
      </w:pPr>
    </w:p>
    <w:p>
      <w:pPr>
        <w:pStyle w:val="Heading1"/>
      </w:pPr>
      <w:r>
        <w:t>7. Information and credentials to request</w:t>
      </w:r>
    </w:p>
    <w:p>
      <w:pPr>
        <w:pStyle w:val="ListBullet"/>
        <w:spacing w:after="120"/>
      </w:pPr>
      <w:r>
        <w:rPr>
          <w:rFonts w:ascii="Calibri" w:hAnsi="Calibri"/>
          <w:b w:val="0"/>
          <w:i w:val="0"/>
          <w:color w:val="111111"/>
          <w:sz w:val="21"/>
        </w:rPr>
        <w:t>Cloud owner: selected provider, billing account owner, billing currency, preferred region and monthly budget ceiling.</w:t>
      </w:r>
    </w:p>
    <w:p>
      <w:pPr>
        <w:pStyle w:val="ListBullet"/>
        <w:spacing w:after="120"/>
      </w:pPr>
      <w:r>
        <w:rPr>
          <w:rFonts w:ascii="Calibri" w:hAnsi="Calibri"/>
          <w:b w:val="0"/>
          <w:i w:val="0"/>
          <w:color w:val="111111"/>
          <w:sz w:val="21"/>
        </w:rPr>
        <w:t>Domain: Cloudflare or registrar access for visacompassnepal.com and the desired customer, operations and API subdomains.</w:t>
      </w:r>
    </w:p>
    <w:p>
      <w:pPr>
        <w:pStyle w:val="ListBullet"/>
        <w:spacing w:after="120"/>
      </w:pPr>
      <w:r>
        <w:rPr>
          <w:rFonts w:ascii="Calibri" w:hAnsi="Calibri"/>
          <w:b w:val="0"/>
          <w:i w:val="0"/>
          <w:color w:val="111111"/>
          <w:sz w:val="21"/>
        </w:rPr>
        <w:t>Clerk: production and staging publishable/secret keys, webhook signing secret and allowed domains.</w:t>
      </w:r>
    </w:p>
    <w:p>
      <w:pPr>
        <w:pStyle w:val="ListBullet"/>
        <w:spacing w:after="120"/>
      </w:pPr>
      <w:r>
        <w:rPr>
          <w:rFonts w:ascii="Calibri" w:hAnsi="Calibri"/>
          <w:b w:val="0"/>
          <w:i w:val="0"/>
          <w:color w:val="111111"/>
          <w:sz w:val="21"/>
        </w:rPr>
        <w:t>Database: production and staging connection URLs, database owner, backup expectation and approved data region.</w:t>
      </w:r>
    </w:p>
    <w:p>
      <w:pPr>
        <w:pStyle w:val="ListBullet"/>
        <w:spacing w:after="120"/>
      </w:pPr>
      <w:r>
        <w:rPr>
          <w:rFonts w:ascii="Calibri" w:hAnsi="Calibri"/>
          <w:b w:val="0"/>
          <w:i w:val="0"/>
          <w:color w:val="111111"/>
          <w:sz w:val="21"/>
        </w:rPr>
        <w:t>Redis: production and staging TLS connection URLs and persistence requirement.</w:t>
      </w:r>
    </w:p>
    <w:p>
      <w:pPr>
        <w:pStyle w:val="ListBullet"/>
        <w:spacing w:after="120"/>
      </w:pPr>
      <w:r>
        <w:rPr>
          <w:rFonts w:ascii="Calibri" w:hAnsi="Calibri"/>
          <w:b w:val="0"/>
          <w:i w:val="0"/>
          <w:color w:val="111111"/>
          <w:sz w:val="21"/>
        </w:rPr>
        <w:t>Documents: selected Cloudinary account, S3/Railway bucket, Azure container or Supabase bucket; region; access credentials/role; retention period; maximum file size.</w:t>
      </w:r>
    </w:p>
    <w:p>
      <w:pPr>
        <w:pStyle w:val="ListBullet"/>
        <w:spacing w:after="120"/>
      </w:pPr>
      <w:r>
        <w:rPr>
          <w:rFonts w:ascii="Calibri" w:hAnsi="Calibri"/>
          <w:b w:val="0"/>
          <w:i w:val="0"/>
          <w:color w:val="111111"/>
          <w:sz w:val="21"/>
        </w:rPr>
        <w:t>Email: sending domain, sender addresses, Resend API key and DNS verification access.</w:t>
      </w:r>
    </w:p>
    <w:p>
      <w:pPr>
        <w:pStyle w:val="ListBullet"/>
        <w:spacing w:after="120"/>
      </w:pPr>
      <w:r>
        <w:rPr>
          <w:rFonts w:ascii="Calibri" w:hAnsi="Calibri"/>
          <w:b w:val="0"/>
          <w:i w:val="0"/>
          <w:color w:val="111111"/>
          <w:sz w:val="21"/>
        </w:rPr>
        <w:t>External integrations: payment gateway, WhatsApp/Meta and eSIM provider production credentials, webhook secrets and callback URLs.</w:t>
      </w:r>
    </w:p>
    <w:p>
      <w:pPr>
        <w:pStyle w:val="Heading1"/>
      </w:pPr>
      <w:r>
        <w:t>8. Decisions needed from the business</w:t>
      </w:r>
    </w:p>
    <w:p>
      <w:pPr>
        <w:pStyle w:val="ListBullet"/>
        <w:spacing w:after="120"/>
      </w:pPr>
      <w:r>
        <w:rPr>
          <w:rFonts w:ascii="Calibri" w:hAnsi="Calibri"/>
          <w:b w:val="0"/>
          <w:i w:val="0"/>
          <w:color w:val="111111"/>
          <w:sz w:val="21"/>
        </w:rPr>
        <w:t>Select compute: Render, Railway or Azure App Service.</w:t>
      </w:r>
    </w:p>
    <w:p>
      <w:pPr>
        <w:pStyle w:val="ListBullet"/>
        <w:spacing w:after="120"/>
      </w:pPr>
      <w:r>
        <w:rPr>
          <w:rFonts w:ascii="Calibri" w:hAnsi="Calibri"/>
          <w:b w:val="0"/>
          <w:i w:val="0"/>
          <w:color w:val="111111"/>
          <w:sz w:val="21"/>
        </w:rPr>
        <w:t>Select database: retain CockroachDB for minimal change, or approve migration to Supabase, Render Postgres or Railway PostgreSQL.</w:t>
      </w:r>
    </w:p>
    <w:p>
      <w:pPr>
        <w:pStyle w:val="ListBullet"/>
        <w:spacing w:after="120"/>
      </w:pPr>
      <w:r>
        <w:rPr>
          <w:rFonts w:ascii="Calibri" w:hAnsi="Calibri"/>
          <w:b w:val="0"/>
          <w:i w:val="0"/>
          <w:color w:val="111111"/>
          <w:sz w:val="21"/>
        </w:rPr>
        <w:t>Select private document storage: Cloudinary, Railway Object Storage, Amazon S3, Azure Blob Storage or Supabase Storage.</w:t>
      </w:r>
    </w:p>
    <w:p>
      <w:pPr>
        <w:pStyle w:val="ListBullet"/>
        <w:spacing w:after="120"/>
      </w:pPr>
      <w:r>
        <w:rPr>
          <w:rFonts w:ascii="Calibri" w:hAnsi="Calibri"/>
          <w:b w:val="0"/>
          <w:i w:val="0"/>
          <w:color w:val="111111"/>
          <w:sz w:val="21"/>
        </w:rPr>
        <w:t>Confirm production region/data residency and initial monthly budget.</w:t>
      </w:r>
    </w:p>
    <w:p>
      <w:pPr>
        <w:pStyle w:val="ListBullet"/>
        <w:spacing w:after="120"/>
      </w:pPr>
      <w:r>
        <w:rPr>
          <w:rFonts w:ascii="Calibri" w:hAnsi="Calibri"/>
          <w:b w:val="0"/>
          <w:i w:val="0"/>
          <w:color w:val="111111"/>
          <w:sz w:val="21"/>
        </w:rPr>
        <w:t>Confirm whether a separate staging environment is required at launch.</w:t>
      </w:r>
    </w:p>
    <w:p>
      <w:pPr>
        <w:spacing w:before="80" w:after="200"/>
        <w:shd w:fill="EAF2F8"/>
      </w:pPr>
      <w:r>
        <w:rPr>
          <w:rFonts w:ascii="Calibri" w:hAnsi="Calibri"/>
          <w:b/>
          <w:i w:val="0"/>
          <w:color w:val="17365D"/>
          <w:sz w:val="21"/>
        </w:rPr>
        <w:t xml:space="preserve">NOTE  </w:t>
      </w:r>
      <w:r>
        <w:rPr>
          <w:rFonts w:ascii="Calibri" w:hAnsi="Calibri"/>
          <w:b w:val="0"/>
          <w:i w:val="0"/>
          <w:color w:val="17365D"/>
          <w:sz w:val="21"/>
        </w:rPr>
        <w:t>CI/CD design is intentionally outside this version. Deployment may be performed manually from the selected platform while the product is in its initial business-validation stage.</w:t>
      </w:r>
    </w:p>
    <w:p>
      <w:pPr>
        <w:pStyle w:val="Heading1"/>
      </w:pPr>
      <w:r>
        <w:t>Pricing references</w:t>
      </w:r>
    </w:p>
    <w:p>
      <w:pPr>
        <w:pStyle w:val="ListBullet"/>
        <w:spacing w:after="120"/>
      </w:pPr>
      <w:r>
        <w:rPr>
          <w:rFonts w:ascii="Calibri" w:hAnsi="Calibri"/>
          <w:b w:val="0"/>
          <w:i w:val="0"/>
          <w:color w:val="111111"/>
          <w:sz w:val="21"/>
        </w:rPr>
        <w:t>Render pricing and instance types — https://render.com/pricing and https://render.com/docs/compute-plans</w:t>
      </w:r>
    </w:p>
    <w:p>
      <w:pPr>
        <w:pStyle w:val="ListBullet"/>
        <w:spacing w:after="120"/>
      </w:pPr>
      <w:r>
        <w:rPr>
          <w:rFonts w:ascii="Calibri" w:hAnsi="Calibri"/>
          <w:b w:val="0"/>
          <w:i w:val="0"/>
          <w:color w:val="111111"/>
          <w:sz w:val="21"/>
        </w:rPr>
        <w:t>Microsoft Azure App Service and Blob Storage pricing — https://azure.microsoft.com/pricing/details/app-service/linux/ and https://azure.microsoft.com/pricing/details/storage/blobs/</w:t>
      </w:r>
    </w:p>
    <w:p>
      <w:pPr>
        <w:pStyle w:val="ListBullet"/>
        <w:spacing w:after="120"/>
      </w:pPr>
      <w:r>
        <w:rPr>
          <w:rFonts w:ascii="Calibri" w:hAnsi="Calibri"/>
          <w:b w:val="0"/>
          <w:i w:val="0"/>
          <w:color w:val="111111"/>
          <w:sz w:val="21"/>
        </w:rPr>
        <w:t>Supabase pricing — https://supabase.com/pricing</w:t>
      </w:r>
    </w:p>
    <w:p>
      <w:pPr>
        <w:pStyle w:val="ListBullet"/>
        <w:spacing w:after="120"/>
      </w:pPr>
      <w:r>
        <w:rPr>
          <w:rFonts w:ascii="Calibri" w:hAnsi="Calibri"/>
          <w:b w:val="0"/>
          <w:i w:val="0"/>
          <w:color w:val="111111"/>
          <w:sz w:val="21"/>
        </w:rPr>
        <w:t>Amazon S3 pricing — https://aws.amazon.com/s3/pricing/</w:t>
      </w:r>
    </w:p>
    <w:p>
      <w:pPr>
        <w:pStyle w:val="ListBullet"/>
        <w:spacing w:after="120"/>
      </w:pPr>
      <w:r>
        <w:rPr>
          <w:rFonts w:ascii="Calibri" w:hAnsi="Calibri"/>
          <w:b w:val="0"/>
          <w:i w:val="0"/>
          <w:color w:val="111111"/>
          <w:sz w:val="21"/>
        </w:rPr>
        <w:t>Cloudinary pricing — https://cloudinary.com/pricing</w:t>
      </w:r>
    </w:p>
    <w:p>
      <w:pPr>
        <w:pStyle w:val="ListBullet"/>
        <w:spacing w:after="120"/>
      </w:pPr>
      <w:r>
        <w:rPr>
          <w:rFonts w:ascii="Calibri" w:hAnsi="Calibri"/>
          <w:b w:val="0"/>
          <w:i w:val="0"/>
          <w:color w:val="111111"/>
          <w:sz w:val="21"/>
        </w:rPr>
        <w:t>Clerk pricing — https://clerk.com/pricing</w:t>
      </w:r>
    </w:p>
    <w:p>
      <w:pPr>
        <w:pStyle w:val="ListBullet"/>
        <w:spacing w:after="120"/>
      </w:pPr>
      <w:r>
        <w:rPr>
          <w:rFonts w:ascii="Calibri" w:hAnsi="Calibri"/>
          <w:b w:val="0"/>
          <w:i w:val="0"/>
          <w:color w:val="111111"/>
          <w:sz w:val="21"/>
        </w:rPr>
        <w:t>Railway pricing — https://railway.com/pricing</w:t>
      </w:r>
    </w:p>
    <w:p>
      <w:pPr>
        <w:pStyle w:val="ListBullet"/>
        <w:spacing w:after="120"/>
      </w:pPr>
      <w:r>
        <w:rPr>
          <w:rFonts w:ascii="Calibri" w:hAnsi="Calibri"/>
          <w:b w:val="0"/>
          <w:i w:val="0"/>
          <w:color w:val="111111"/>
          <w:sz w:val="21"/>
        </w:rPr>
        <w:t>Upstash Redis pricing — https://upstash.com/pricing/redis</w:t>
      </w:r>
    </w:p>
    <w:p>
      <w:pPr>
        <w:spacing w:after="120"/>
      </w:pPr>
      <w:r>
        <w:rPr>
          <w:rFonts w:ascii="Calibri" w:hAnsi="Calibri"/>
          <w:b w:val="0"/>
          <w:i w:val="0"/>
          <w:color w:val="111111"/>
          <w:sz w:val="21"/>
        </w:rPr>
        <w:t>Pricing checked 17 August 2026. Provider prices and free-tier terms may change; obtain a final calculator estimate after region and expected usage are confirmed.</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B78"/>
        <w:sz w:val="17"/>
      </w:rPr>
      <w:t>Business planning draft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5E6B78"/>
        <w:sz w:val="17"/>
      </w:rPr>
      <w:t>VISA COMPASS  |  DEPLOYMENT OPTIONS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