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W w:w="9155" w:type="dxa"/>
        <w:tblInd w:w="108" w:type="dxa"/>
        <w:tblLayout w:type="fixed"/>
        <w:tblCellMar>
          <w:top w:w="0" w:type="dxa"/>
          <w:left w:w="108" w:type="dxa"/>
          <w:bottom w:w="0" w:type="dxa"/>
          <w:right w:w="108" w:type="dxa"/>
        </w:tblCellMar>
      </w:tblPr>
      <w:tblGrid>
        <w:gridCol w:w="1276"/>
        <w:gridCol w:w="1985"/>
        <w:gridCol w:w="1842"/>
        <w:gridCol w:w="1276"/>
        <w:gridCol w:w="1418"/>
        <w:gridCol w:w="1358"/>
      </w:tblGrid>
      <w:tr>
        <w:tblPrEx>
          <w:tblCellMar>
            <w:top w:w="0" w:type="dxa"/>
            <w:left w:w="108" w:type="dxa"/>
            <w:bottom w:w="0" w:type="dxa"/>
            <w:right w:w="108" w:type="dxa"/>
          </w:tblCellMar>
        </w:tblPrEx>
        <w:trPr>
          <w:trHeight w:val="2079" w:hRule="atLeast"/>
        </w:trPr>
        <w:tc>
          <w:tcPr>
            <w:tcW w:w="9155" w:type="dxa"/>
            <w:gridSpan w:val="6"/>
          </w:tcPr>
          <w:p>
            <w:pPr>
              <w:rPr>
                <w:rFonts w:asciiTheme="majorEastAsia" w:hAnsiTheme="majorEastAsia" w:eastAsiaTheme="majorEastAsia"/>
                <w:color w:val="000000"/>
                <w:sz w:val="36"/>
                <w:szCs w:val="22"/>
              </w:rPr>
            </w:pPr>
            <w:r>
              <w:rPr>
                <w:rFonts w:ascii="仿宋_GB2312" w:hAnsi="宋体" w:eastAsia="仿宋_GB2312"/>
                <w:color w:val="000000"/>
                <w:sz w:val="28"/>
              </w:rPr>
              <w:br w:type="page"/>
            </w:r>
          </w:p>
          <w:p>
            <w:pPr>
              <w:jc w:val="center"/>
            </w:pPr>
            <w:r>
              <w:drawing>
                <wp:inline distT="0" distB="0" distL="114300" distR="114300">
                  <wp:extent cx="894080" cy="895350"/>
                  <wp:effectExtent l="0" t="0" r="10795" b="9525"/>
                  <wp:docPr id="1" name="Picture 1" descr="校徽完成方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校徽完成方案2"/>
                          <pic:cNvPicPr>
                            <a:picLocks noChangeAspect="1"/>
                          </pic:cNvPicPr>
                        </pic:nvPicPr>
                        <pic:blipFill>
                          <a:blip r:embed="rId6"/>
                          <a:srcRect/>
                          <a:stretch>
                            <a:fillRect/>
                          </a:stretch>
                        </pic:blipFill>
                        <pic:spPr>
                          <a:xfrm>
                            <a:off x="0" y="0"/>
                            <a:ext cx="894080" cy="895350"/>
                          </a:xfrm>
                          <a:prstGeom prst="rect">
                            <a:avLst/>
                          </a:prstGeom>
                          <a:noFill/>
                          <a:ln>
                            <a:noFill/>
                          </a:ln>
                        </pic:spPr>
                      </pic:pic>
                    </a:graphicData>
                  </a:graphic>
                </wp:inline>
              </w:drawing>
            </w:r>
            <w:r>
              <w:rPr>
                <w:rFonts w:hint="eastAsia"/>
              </w:rPr>
              <w:t xml:space="preserve">  </w:t>
            </w:r>
            <w:r>
              <w:rPr>
                <w:rFonts w:hint="eastAsia" w:ascii="宋体" w:hAnsi="宋体"/>
                <w:sz w:val="44"/>
              </w:rPr>
              <w:drawing>
                <wp:inline distT="0" distB="0" distL="114300" distR="114300">
                  <wp:extent cx="3225165" cy="973455"/>
                  <wp:effectExtent l="0" t="0" r="13335" b="10795"/>
                  <wp:docPr id="2" name="Picture 2" descr="南京林业大学标准矢量文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南京林业大学标准矢量文字"/>
                          <pic:cNvPicPr>
                            <a:picLocks noChangeAspect="1"/>
                          </pic:cNvPicPr>
                        </pic:nvPicPr>
                        <pic:blipFill>
                          <a:blip r:embed="rId7"/>
                          <a:stretch>
                            <a:fillRect/>
                          </a:stretch>
                        </pic:blipFill>
                        <pic:spPr>
                          <a:xfrm>
                            <a:off x="0" y="0"/>
                            <a:ext cx="3225165" cy="973455"/>
                          </a:xfrm>
                          <a:prstGeom prst="rect">
                            <a:avLst/>
                          </a:prstGeom>
                          <a:noFill/>
                          <a:ln>
                            <a:noFill/>
                          </a:ln>
                        </pic:spPr>
                      </pic:pic>
                    </a:graphicData>
                  </a:graphic>
                </wp:inline>
              </w:drawing>
            </w:r>
          </w:p>
          <w:p>
            <w:pPr>
              <w:jc w:val="center"/>
              <w:rPr>
                <w:rFonts w:ascii="宋体" w:hAnsi="宋体"/>
                <w:sz w:val="18"/>
                <w:szCs w:val="13"/>
              </w:rPr>
            </w:pPr>
          </w:p>
          <w:p>
            <w:pPr>
              <w:spacing w:before="72" w:beforeLines="30"/>
              <w:jc w:val="center"/>
              <w:rPr>
                <w:rFonts w:ascii="华文中宋" w:hAnsi="华文中宋" w:eastAsia="华文中宋"/>
                <w:color w:val="000000" w:themeColor="text1"/>
                <w:sz w:val="68"/>
                <w:szCs w:val="68"/>
                <w14:textFill>
                  <w14:solidFill>
                    <w14:schemeClr w14:val="tx1"/>
                  </w14:solidFill>
                </w14:textFill>
              </w:rPr>
            </w:pPr>
            <w:r>
              <w:rPr>
                <w:rFonts w:hint="eastAsia" w:ascii="华文中宋" w:hAnsi="华文中宋" w:eastAsia="华文中宋"/>
                <w:sz w:val="68"/>
                <w:szCs w:val="68"/>
              </w:rPr>
              <w:t>本科毕业论文</w:t>
            </w:r>
            <w:r>
              <w:rPr>
                <w:rFonts w:hint="eastAsia" w:eastAsia="华文中宋"/>
                <w:color w:val="000000" w:themeColor="text1"/>
                <w:sz w:val="68"/>
                <w:szCs w:val="68"/>
                <w14:textFill>
                  <w14:solidFill>
                    <w14:schemeClr w14:val="tx1"/>
                  </w14:solidFill>
                </w14:textFill>
              </w:rPr>
              <w:t>(</w:t>
            </w:r>
            <w:r>
              <w:rPr>
                <w:rFonts w:hint="eastAsia" w:ascii="华文中宋" w:hAnsi="华文中宋" w:eastAsia="华文中宋"/>
                <w:color w:val="000000" w:themeColor="text1"/>
                <w:sz w:val="68"/>
                <w:szCs w:val="68"/>
                <w14:textFill>
                  <w14:solidFill>
                    <w14:schemeClr w14:val="tx1"/>
                  </w14:solidFill>
                </w14:textFill>
              </w:rPr>
              <w:t>设计</w:t>
            </w:r>
            <w:r>
              <w:rPr>
                <w:rFonts w:hint="eastAsia" w:hAnsi="华文中宋" w:eastAsia="华文中宋"/>
                <w:color w:val="000000" w:themeColor="text1"/>
                <w:sz w:val="68"/>
                <w:szCs w:val="68"/>
                <w14:textFill>
                  <w14:solidFill>
                    <w14:schemeClr w14:val="tx1"/>
                  </w14:solidFill>
                </w14:textFill>
              </w:rPr>
              <w:t>)</w:t>
            </w:r>
          </w:p>
          <w:p>
            <w:pPr>
              <w:jc w:val="center"/>
            </w:pPr>
          </w:p>
          <w:p>
            <w:pPr>
              <w:jc w:val="center"/>
              <w:rPr>
                <w:rFonts w:eastAsia="黑体"/>
                <w:sz w:val="44"/>
              </w:rPr>
            </w:pPr>
          </w:p>
          <w:p>
            <w:pPr>
              <w:rPr>
                <w:rFonts w:eastAsia="黑体"/>
                <w:sz w:val="44"/>
              </w:rPr>
            </w:pPr>
          </w:p>
          <w:p>
            <w:pPr>
              <w:rPr>
                <w:rFonts w:eastAsia="黑体"/>
                <w:sz w:val="44"/>
              </w:rPr>
            </w:pPr>
          </w:p>
        </w:tc>
      </w:tr>
      <w:tr>
        <w:tblPrEx>
          <w:tblCellMar>
            <w:top w:w="0" w:type="dxa"/>
            <w:left w:w="108" w:type="dxa"/>
            <w:bottom w:w="0" w:type="dxa"/>
            <w:right w:w="108" w:type="dxa"/>
          </w:tblCellMar>
        </w:tblPrEx>
        <w:trPr>
          <w:trHeight w:val="680" w:hRule="atLeast"/>
        </w:trPr>
        <w:tc>
          <w:tcPr>
            <w:tcW w:w="1276" w:type="dxa"/>
            <w:vAlign w:val="center"/>
          </w:tcPr>
          <w:p>
            <w:pPr>
              <w:rPr>
                <w:rFonts w:ascii="方正姚体" w:eastAsia="方正姚体"/>
                <w:sz w:val="32"/>
              </w:rPr>
            </w:pPr>
          </w:p>
        </w:tc>
        <w:tc>
          <w:tcPr>
            <w:tcW w:w="1985" w:type="dxa"/>
            <w:tcBorders>
              <w:right w:val="nil"/>
            </w:tcBorders>
            <w:vAlign w:val="bottom"/>
          </w:tcPr>
          <w:p>
            <w:pPr>
              <w:ind w:right="74" w:rightChars="31"/>
              <w:jc w:val="distribute"/>
              <w:rPr>
                <w:rFonts w:ascii="黑体" w:hAnsi="黑体" w:eastAsia="黑体"/>
                <w:b/>
                <w:bCs/>
                <w:sz w:val="32"/>
                <w:szCs w:val="32"/>
              </w:rPr>
            </w:pPr>
            <w:r>
              <w:rPr>
                <w:rFonts w:hint="eastAsia" w:ascii="黑体" w:hAnsi="黑体" w:eastAsia="黑体"/>
                <w:b/>
                <w:bCs/>
                <w:sz w:val="32"/>
                <w:szCs w:val="32"/>
              </w:rPr>
              <w:t>题    目：</w:t>
            </w:r>
          </w:p>
        </w:tc>
        <w:tc>
          <w:tcPr>
            <w:tcW w:w="4536" w:type="dxa"/>
            <w:gridSpan w:val="3"/>
            <w:tcBorders>
              <w:top w:val="nil"/>
              <w:left w:val="nil"/>
              <w:bottom w:val="single" w:color="auto" w:sz="8" w:space="0"/>
              <w:right w:val="nil"/>
            </w:tcBorders>
            <w:vAlign w:val="bottom"/>
          </w:tcPr>
          <w:p>
            <w:pPr>
              <w:jc w:val="center"/>
              <w:rPr>
                <w:rFonts w:ascii="仿宋_GB2312" w:hAnsi="黑体" w:eastAsia="仿宋_GB2312"/>
                <w:bCs/>
                <w:sz w:val="30"/>
                <w:szCs w:val="30"/>
              </w:rPr>
            </w:pPr>
            <w:r>
              <w:rPr>
                <w:rFonts w:hint="eastAsia" w:ascii="仿宋_GB2312" w:hAnsi="黑体" w:eastAsia="仿宋_GB2312"/>
                <w:bCs/>
                <w:sz w:val="30"/>
                <w:szCs w:val="30"/>
              </w:rPr>
              <w:t>木糖对纤维板水热液中</w:t>
            </w:r>
          </w:p>
        </w:tc>
        <w:tc>
          <w:tcPr>
            <w:tcW w:w="1358" w:type="dxa"/>
            <w:tcBorders>
              <w:left w:val="nil"/>
            </w:tcBorders>
            <w:vAlign w:val="center"/>
          </w:tcPr>
          <w:p>
            <w:pPr>
              <w:rPr>
                <w:rFonts w:ascii="黑体" w:hAnsi="黑体" w:eastAsia="黑体"/>
                <w:bCs/>
                <w:sz w:val="32"/>
                <w:u w:val="single"/>
              </w:rPr>
            </w:pPr>
          </w:p>
        </w:tc>
      </w:tr>
      <w:tr>
        <w:tblPrEx>
          <w:tblCellMar>
            <w:top w:w="0" w:type="dxa"/>
            <w:left w:w="108" w:type="dxa"/>
            <w:bottom w:w="0" w:type="dxa"/>
            <w:right w:w="108" w:type="dxa"/>
          </w:tblCellMar>
        </w:tblPrEx>
        <w:trPr>
          <w:trHeight w:val="680" w:hRule="atLeast"/>
        </w:trPr>
        <w:tc>
          <w:tcPr>
            <w:tcW w:w="1276" w:type="dxa"/>
            <w:vAlign w:val="center"/>
          </w:tcPr>
          <w:p>
            <w:pPr>
              <w:rPr>
                <w:rFonts w:ascii="方正姚体" w:eastAsia="方正姚体"/>
                <w:sz w:val="32"/>
              </w:rPr>
            </w:pPr>
          </w:p>
        </w:tc>
        <w:tc>
          <w:tcPr>
            <w:tcW w:w="1985" w:type="dxa"/>
            <w:tcBorders>
              <w:right w:val="nil"/>
            </w:tcBorders>
            <w:vAlign w:val="bottom"/>
          </w:tcPr>
          <w:p>
            <w:pPr>
              <w:ind w:right="74" w:rightChars="31"/>
              <w:jc w:val="distribute"/>
              <w:rPr>
                <w:rFonts w:ascii="黑体" w:hAnsi="黑体" w:eastAsia="黑体"/>
                <w:b/>
                <w:bCs/>
                <w:sz w:val="32"/>
                <w:szCs w:val="32"/>
              </w:rPr>
            </w:pPr>
          </w:p>
        </w:tc>
        <w:tc>
          <w:tcPr>
            <w:tcW w:w="4536" w:type="dxa"/>
            <w:gridSpan w:val="3"/>
            <w:tcBorders>
              <w:top w:val="nil"/>
              <w:left w:val="nil"/>
              <w:bottom w:val="single" w:color="auto" w:sz="8" w:space="0"/>
              <w:right w:val="nil"/>
            </w:tcBorders>
            <w:vAlign w:val="bottom"/>
          </w:tcPr>
          <w:p>
            <w:pPr>
              <w:jc w:val="center"/>
              <w:rPr>
                <w:rFonts w:ascii="仿宋_GB2312" w:hAnsi="黑体" w:eastAsia="仿宋_GB2312"/>
                <w:bCs/>
                <w:sz w:val="30"/>
                <w:szCs w:val="30"/>
              </w:rPr>
            </w:pPr>
            <w:r>
              <w:rPr>
                <w:rFonts w:hint="eastAsia" w:ascii="仿宋_GB2312" w:hAnsi="黑体" w:eastAsia="仿宋_GB2312"/>
                <w:bCs/>
                <w:sz w:val="30"/>
                <w:szCs w:val="30"/>
              </w:rPr>
              <w:t>氮的固集特性研究</w:t>
            </w:r>
          </w:p>
        </w:tc>
        <w:tc>
          <w:tcPr>
            <w:tcW w:w="1358" w:type="dxa"/>
            <w:tcBorders>
              <w:left w:val="nil"/>
            </w:tcBorders>
            <w:vAlign w:val="center"/>
          </w:tcPr>
          <w:p>
            <w:pPr>
              <w:rPr>
                <w:rFonts w:ascii="黑体" w:hAnsi="黑体" w:eastAsia="黑体"/>
                <w:bCs/>
                <w:sz w:val="32"/>
                <w:u w:val="single"/>
              </w:rPr>
            </w:pPr>
          </w:p>
        </w:tc>
      </w:tr>
      <w:tr>
        <w:tblPrEx>
          <w:tblCellMar>
            <w:top w:w="0" w:type="dxa"/>
            <w:left w:w="108" w:type="dxa"/>
            <w:bottom w:w="0" w:type="dxa"/>
            <w:right w:w="108" w:type="dxa"/>
          </w:tblCellMar>
        </w:tblPrEx>
        <w:trPr>
          <w:trHeight w:val="680" w:hRule="atLeast"/>
        </w:trPr>
        <w:tc>
          <w:tcPr>
            <w:tcW w:w="1276" w:type="dxa"/>
            <w:vAlign w:val="center"/>
          </w:tcPr>
          <w:p>
            <w:pPr>
              <w:rPr>
                <w:rFonts w:ascii="方正姚体" w:eastAsia="方正姚体"/>
                <w:sz w:val="32"/>
              </w:rPr>
            </w:pPr>
          </w:p>
        </w:tc>
        <w:tc>
          <w:tcPr>
            <w:tcW w:w="1985" w:type="dxa"/>
            <w:tcBorders>
              <w:right w:val="nil"/>
            </w:tcBorders>
            <w:vAlign w:val="bottom"/>
          </w:tcPr>
          <w:p>
            <w:pPr>
              <w:ind w:right="74" w:rightChars="31"/>
              <w:jc w:val="distribute"/>
              <w:rPr>
                <w:rFonts w:ascii="黑体" w:hAnsi="黑体" w:eastAsia="黑体"/>
                <w:b/>
                <w:bCs/>
                <w:sz w:val="32"/>
                <w:szCs w:val="32"/>
              </w:rPr>
            </w:pPr>
            <w:r>
              <w:rPr>
                <w:rFonts w:hint="eastAsia" w:ascii="黑体" w:hAnsi="黑体" w:eastAsia="黑体"/>
                <w:b/>
                <w:bCs/>
                <w:sz w:val="32"/>
                <w:szCs w:val="32"/>
              </w:rPr>
              <w:t>学    院：</w:t>
            </w:r>
          </w:p>
        </w:tc>
        <w:tc>
          <w:tcPr>
            <w:tcW w:w="4536" w:type="dxa"/>
            <w:gridSpan w:val="3"/>
            <w:tcBorders>
              <w:top w:val="single" w:color="auto" w:sz="8" w:space="0"/>
              <w:left w:val="nil"/>
              <w:bottom w:val="single" w:color="auto" w:sz="8" w:space="0"/>
              <w:right w:val="nil"/>
            </w:tcBorders>
            <w:vAlign w:val="bottom"/>
          </w:tcPr>
          <w:p>
            <w:pPr>
              <w:jc w:val="center"/>
              <w:rPr>
                <w:rFonts w:ascii="仿宋_GB2312" w:hAnsi="黑体" w:eastAsia="仿宋_GB2312"/>
                <w:bCs/>
                <w:sz w:val="30"/>
                <w:szCs w:val="30"/>
              </w:rPr>
            </w:pPr>
            <w:r>
              <w:rPr>
                <w:rFonts w:hint="eastAsia" w:ascii="仿宋_GB2312" w:hAnsi="黑体" w:eastAsia="仿宋_GB2312"/>
                <w:bCs/>
                <w:sz w:val="30"/>
                <w:szCs w:val="30"/>
              </w:rPr>
              <w:t>材料科学与工程学院</w:t>
            </w:r>
          </w:p>
        </w:tc>
        <w:tc>
          <w:tcPr>
            <w:tcW w:w="1358" w:type="dxa"/>
            <w:tcBorders>
              <w:left w:val="nil"/>
            </w:tcBorders>
            <w:vAlign w:val="center"/>
          </w:tcPr>
          <w:p>
            <w:pPr>
              <w:rPr>
                <w:rFonts w:ascii="黑体" w:hAnsi="黑体" w:eastAsia="黑体"/>
                <w:bCs/>
                <w:sz w:val="32"/>
              </w:rPr>
            </w:pPr>
          </w:p>
        </w:tc>
      </w:tr>
      <w:tr>
        <w:tblPrEx>
          <w:tblCellMar>
            <w:top w:w="0" w:type="dxa"/>
            <w:left w:w="108" w:type="dxa"/>
            <w:bottom w:w="0" w:type="dxa"/>
            <w:right w:w="108" w:type="dxa"/>
          </w:tblCellMar>
        </w:tblPrEx>
        <w:trPr>
          <w:trHeight w:val="680" w:hRule="atLeast"/>
        </w:trPr>
        <w:tc>
          <w:tcPr>
            <w:tcW w:w="1276" w:type="dxa"/>
            <w:vAlign w:val="center"/>
          </w:tcPr>
          <w:p>
            <w:pPr>
              <w:rPr>
                <w:rFonts w:ascii="方正姚体" w:eastAsia="方正姚体"/>
                <w:sz w:val="32"/>
              </w:rPr>
            </w:pPr>
          </w:p>
        </w:tc>
        <w:tc>
          <w:tcPr>
            <w:tcW w:w="1985" w:type="dxa"/>
            <w:tcBorders>
              <w:right w:val="nil"/>
            </w:tcBorders>
            <w:vAlign w:val="bottom"/>
          </w:tcPr>
          <w:p>
            <w:pPr>
              <w:ind w:right="74" w:rightChars="31"/>
              <w:jc w:val="distribute"/>
              <w:rPr>
                <w:rFonts w:ascii="黑体" w:hAnsi="黑体" w:eastAsia="黑体"/>
                <w:b/>
                <w:bCs/>
                <w:sz w:val="32"/>
                <w:szCs w:val="32"/>
              </w:rPr>
            </w:pPr>
            <w:r>
              <w:rPr>
                <w:rFonts w:hint="eastAsia" w:ascii="黑体" w:hAnsi="黑体" w:eastAsia="黑体"/>
                <w:b/>
                <w:bCs/>
                <w:sz w:val="32"/>
                <w:szCs w:val="32"/>
              </w:rPr>
              <w:t>专    业：</w:t>
            </w:r>
          </w:p>
        </w:tc>
        <w:tc>
          <w:tcPr>
            <w:tcW w:w="4536" w:type="dxa"/>
            <w:gridSpan w:val="3"/>
            <w:tcBorders>
              <w:top w:val="single" w:color="auto" w:sz="8" w:space="0"/>
              <w:left w:val="nil"/>
              <w:bottom w:val="single" w:color="auto" w:sz="8" w:space="0"/>
              <w:right w:val="nil"/>
            </w:tcBorders>
            <w:vAlign w:val="bottom"/>
          </w:tcPr>
          <w:p>
            <w:pPr>
              <w:jc w:val="center"/>
              <w:rPr>
                <w:rFonts w:ascii="仿宋_GB2312" w:hAnsi="黑体" w:eastAsia="仿宋_GB2312"/>
                <w:bCs/>
                <w:sz w:val="30"/>
                <w:szCs w:val="30"/>
              </w:rPr>
            </w:pPr>
            <w:r>
              <w:rPr>
                <w:rFonts w:hint="eastAsia" w:ascii="仿宋_GB2312" w:hAnsi="黑体" w:eastAsia="仿宋_GB2312"/>
                <w:bCs/>
                <w:sz w:val="30"/>
                <w:szCs w:val="30"/>
              </w:rPr>
              <w:t>能源与动力工程</w:t>
            </w:r>
          </w:p>
        </w:tc>
        <w:tc>
          <w:tcPr>
            <w:tcW w:w="1358" w:type="dxa"/>
            <w:tcBorders>
              <w:left w:val="nil"/>
            </w:tcBorders>
            <w:vAlign w:val="center"/>
          </w:tcPr>
          <w:p>
            <w:pPr>
              <w:rPr>
                <w:rFonts w:ascii="黑体" w:hAnsi="黑体" w:eastAsia="黑体"/>
                <w:bCs/>
                <w:sz w:val="32"/>
              </w:rPr>
            </w:pPr>
          </w:p>
        </w:tc>
      </w:tr>
      <w:tr>
        <w:tblPrEx>
          <w:tblCellMar>
            <w:top w:w="0" w:type="dxa"/>
            <w:left w:w="108" w:type="dxa"/>
            <w:bottom w:w="0" w:type="dxa"/>
            <w:right w:w="108" w:type="dxa"/>
          </w:tblCellMar>
        </w:tblPrEx>
        <w:trPr>
          <w:trHeight w:val="680" w:hRule="atLeast"/>
        </w:trPr>
        <w:tc>
          <w:tcPr>
            <w:tcW w:w="1276" w:type="dxa"/>
            <w:vAlign w:val="center"/>
          </w:tcPr>
          <w:p>
            <w:pPr>
              <w:rPr>
                <w:rFonts w:ascii="方正姚体" w:eastAsia="方正姚体"/>
                <w:sz w:val="32"/>
              </w:rPr>
            </w:pPr>
          </w:p>
        </w:tc>
        <w:tc>
          <w:tcPr>
            <w:tcW w:w="1985" w:type="dxa"/>
            <w:tcBorders>
              <w:right w:val="nil"/>
            </w:tcBorders>
            <w:vAlign w:val="bottom"/>
          </w:tcPr>
          <w:p>
            <w:pPr>
              <w:ind w:right="74" w:rightChars="31"/>
              <w:jc w:val="distribute"/>
              <w:rPr>
                <w:rFonts w:ascii="黑体" w:hAnsi="黑体" w:eastAsia="黑体"/>
                <w:b/>
                <w:bCs/>
                <w:sz w:val="32"/>
                <w:szCs w:val="32"/>
              </w:rPr>
            </w:pPr>
            <w:r>
              <w:rPr>
                <w:rFonts w:hint="eastAsia" w:ascii="黑体" w:hAnsi="黑体" w:eastAsia="黑体"/>
                <w:b/>
                <w:bCs/>
                <w:sz w:val="32"/>
                <w:szCs w:val="32"/>
              </w:rPr>
              <w:t>班   级：</w:t>
            </w:r>
          </w:p>
        </w:tc>
        <w:tc>
          <w:tcPr>
            <w:tcW w:w="4536" w:type="dxa"/>
            <w:gridSpan w:val="3"/>
            <w:tcBorders>
              <w:top w:val="single" w:color="auto" w:sz="8" w:space="0"/>
              <w:left w:val="nil"/>
              <w:bottom w:val="single" w:color="auto" w:sz="8" w:space="0"/>
              <w:right w:val="nil"/>
            </w:tcBorders>
            <w:vAlign w:val="bottom"/>
          </w:tcPr>
          <w:p>
            <w:pPr>
              <w:jc w:val="center"/>
              <w:rPr>
                <w:rFonts w:eastAsia="仿宋_GB2312"/>
                <w:bCs/>
                <w:sz w:val="30"/>
                <w:szCs w:val="30"/>
              </w:rPr>
            </w:pPr>
            <w:r>
              <w:rPr>
                <w:rFonts w:eastAsia="仿宋_GB2312"/>
                <w:bCs/>
                <w:sz w:val="30"/>
                <w:szCs w:val="30"/>
              </w:rPr>
              <w:t>20504032</w:t>
            </w:r>
          </w:p>
        </w:tc>
        <w:tc>
          <w:tcPr>
            <w:tcW w:w="1358" w:type="dxa"/>
            <w:tcBorders>
              <w:left w:val="nil"/>
            </w:tcBorders>
            <w:vAlign w:val="center"/>
          </w:tcPr>
          <w:p>
            <w:pPr>
              <w:rPr>
                <w:rFonts w:ascii="黑体" w:hAnsi="黑体" w:eastAsia="黑体"/>
                <w:bCs/>
                <w:sz w:val="32"/>
              </w:rPr>
            </w:pPr>
          </w:p>
        </w:tc>
      </w:tr>
      <w:tr>
        <w:tblPrEx>
          <w:tblCellMar>
            <w:top w:w="0" w:type="dxa"/>
            <w:left w:w="108" w:type="dxa"/>
            <w:bottom w:w="0" w:type="dxa"/>
            <w:right w:w="108" w:type="dxa"/>
          </w:tblCellMar>
        </w:tblPrEx>
        <w:trPr>
          <w:trHeight w:val="680" w:hRule="atLeast"/>
        </w:trPr>
        <w:tc>
          <w:tcPr>
            <w:tcW w:w="1276" w:type="dxa"/>
            <w:vAlign w:val="center"/>
          </w:tcPr>
          <w:p>
            <w:pPr>
              <w:rPr>
                <w:rFonts w:ascii="方正姚体" w:eastAsia="方正姚体"/>
                <w:sz w:val="32"/>
              </w:rPr>
            </w:pPr>
          </w:p>
        </w:tc>
        <w:tc>
          <w:tcPr>
            <w:tcW w:w="1985" w:type="dxa"/>
            <w:tcBorders>
              <w:right w:val="nil"/>
            </w:tcBorders>
            <w:vAlign w:val="bottom"/>
          </w:tcPr>
          <w:p>
            <w:pPr>
              <w:ind w:right="74" w:rightChars="31"/>
              <w:jc w:val="distribute"/>
              <w:rPr>
                <w:rFonts w:ascii="黑体" w:hAnsi="黑体" w:eastAsia="黑体"/>
                <w:b/>
                <w:bCs/>
                <w:sz w:val="32"/>
                <w:szCs w:val="32"/>
              </w:rPr>
            </w:pPr>
            <w:r>
              <w:rPr>
                <w:rFonts w:hint="eastAsia" w:ascii="黑体" w:hAnsi="黑体" w:eastAsia="黑体"/>
                <w:b/>
                <w:bCs/>
                <w:sz w:val="32"/>
                <w:szCs w:val="32"/>
              </w:rPr>
              <w:t>学    号：</w:t>
            </w:r>
          </w:p>
        </w:tc>
        <w:tc>
          <w:tcPr>
            <w:tcW w:w="4536" w:type="dxa"/>
            <w:gridSpan w:val="3"/>
            <w:tcBorders>
              <w:top w:val="single" w:color="auto" w:sz="8" w:space="0"/>
              <w:left w:val="nil"/>
              <w:bottom w:val="single" w:color="auto" w:sz="8" w:space="0"/>
              <w:right w:val="nil"/>
            </w:tcBorders>
            <w:vAlign w:val="bottom"/>
          </w:tcPr>
          <w:p>
            <w:pPr>
              <w:jc w:val="center"/>
              <w:rPr>
                <w:rFonts w:eastAsia="仿宋_GB2312"/>
                <w:bCs/>
                <w:sz w:val="30"/>
                <w:szCs w:val="30"/>
              </w:rPr>
            </w:pPr>
            <w:r>
              <w:rPr>
                <w:rFonts w:eastAsia="仿宋_GB2312"/>
                <w:bCs/>
                <w:sz w:val="30"/>
                <w:szCs w:val="30"/>
              </w:rPr>
              <w:t>200455203</w:t>
            </w:r>
          </w:p>
        </w:tc>
        <w:tc>
          <w:tcPr>
            <w:tcW w:w="1358" w:type="dxa"/>
            <w:tcBorders>
              <w:left w:val="nil"/>
            </w:tcBorders>
            <w:vAlign w:val="center"/>
          </w:tcPr>
          <w:p>
            <w:pPr>
              <w:rPr>
                <w:rFonts w:ascii="黑体" w:hAnsi="黑体" w:eastAsia="黑体"/>
                <w:bCs/>
                <w:sz w:val="32"/>
              </w:rPr>
            </w:pPr>
          </w:p>
        </w:tc>
      </w:tr>
      <w:tr>
        <w:tblPrEx>
          <w:tblCellMar>
            <w:top w:w="0" w:type="dxa"/>
            <w:left w:w="108" w:type="dxa"/>
            <w:bottom w:w="0" w:type="dxa"/>
            <w:right w:w="108" w:type="dxa"/>
          </w:tblCellMar>
        </w:tblPrEx>
        <w:trPr>
          <w:trHeight w:val="680" w:hRule="atLeast"/>
        </w:trPr>
        <w:tc>
          <w:tcPr>
            <w:tcW w:w="1276" w:type="dxa"/>
            <w:vAlign w:val="center"/>
          </w:tcPr>
          <w:p>
            <w:pPr>
              <w:rPr>
                <w:rFonts w:ascii="方正姚体" w:eastAsia="方正姚体"/>
                <w:sz w:val="32"/>
              </w:rPr>
            </w:pPr>
          </w:p>
        </w:tc>
        <w:tc>
          <w:tcPr>
            <w:tcW w:w="1985" w:type="dxa"/>
            <w:tcBorders>
              <w:right w:val="nil"/>
            </w:tcBorders>
            <w:vAlign w:val="bottom"/>
          </w:tcPr>
          <w:p>
            <w:pPr>
              <w:ind w:right="74" w:rightChars="31"/>
              <w:jc w:val="distribute"/>
              <w:rPr>
                <w:rFonts w:ascii="黑体" w:hAnsi="黑体" w:eastAsia="黑体"/>
                <w:b/>
                <w:bCs/>
                <w:sz w:val="32"/>
                <w:szCs w:val="32"/>
              </w:rPr>
            </w:pPr>
            <w:r>
              <w:rPr>
                <w:rFonts w:hint="eastAsia" w:ascii="黑体" w:hAnsi="黑体" w:eastAsia="黑体"/>
                <w:b/>
                <w:bCs/>
                <w:sz w:val="32"/>
                <w:szCs w:val="32"/>
              </w:rPr>
              <w:t>学生姓名：</w:t>
            </w:r>
          </w:p>
        </w:tc>
        <w:tc>
          <w:tcPr>
            <w:tcW w:w="4536" w:type="dxa"/>
            <w:gridSpan w:val="3"/>
            <w:tcBorders>
              <w:top w:val="single" w:color="auto" w:sz="8" w:space="0"/>
              <w:left w:val="nil"/>
              <w:bottom w:val="single" w:color="auto" w:sz="8" w:space="0"/>
              <w:right w:val="nil"/>
            </w:tcBorders>
            <w:vAlign w:val="bottom"/>
          </w:tcPr>
          <w:p>
            <w:pPr>
              <w:jc w:val="center"/>
              <w:rPr>
                <w:rFonts w:ascii="仿宋_GB2312" w:hAnsi="黑体" w:eastAsia="仿宋_GB2312"/>
                <w:bCs/>
                <w:sz w:val="30"/>
                <w:szCs w:val="30"/>
              </w:rPr>
            </w:pPr>
            <w:r>
              <w:rPr>
                <w:rFonts w:hint="eastAsia" w:ascii="仿宋_GB2312" w:hAnsi="黑体" w:eastAsia="仿宋_GB2312"/>
                <w:bCs/>
                <w:sz w:val="30"/>
                <w:szCs w:val="30"/>
              </w:rPr>
              <w:t>陈尊来</w:t>
            </w:r>
          </w:p>
        </w:tc>
        <w:tc>
          <w:tcPr>
            <w:tcW w:w="1358" w:type="dxa"/>
            <w:tcBorders>
              <w:left w:val="nil"/>
            </w:tcBorders>
            <w:vAlign w:val="center"/>
          </w:tcPr>
          <w:p>
            <w:pPr>
              <w:rPr>
                <w:rFonts w:ascii="黑体" w:hAnsi="黑体" w:eastAsia="黑体"/>
                <w:bCs/>
                <w:sz w:val="32"/>
              </w:rPr>
            </w:pPr>
          </w:p>
        </w:tc>
      </w:tr>
      <w:tr>
        <w:tblPrEx>
          <w:tblCellMar>
            <w:top w:w="0" w:type="dxa"/>
            <w:left w:w="108" w:type="dxa"/>
            <w:bottom w:w="0" w:type="dxa"/>
            <w:right w:w="108" w:type="dxa"/>
          </w:tblCellMar>
        </w:tblPrEx>
        <w:trPr>
          <w:trHeight w:val="680" w:hRule="atLeast"/>
        </w:trPr>
        <w:tc>
          <w:tcPr>
            <w:tcW w:w="1276" w:type="dxa"/>
            <w:vAlign w:val="center"/>
          </w:tcPr>
          <w:p>
            <w:pPr>
              <w:rPr>
                <w:rFonts w:ascii="方正姚体" w:eastAsia="方正姚体"/>
                <w:sz w:val="32"/>
              </w:rPr>
            </w:pPr>
          </w:p>
        </w:tc>
        <w:tc>
          <w:tcPr>
            <w:tcW w:w="1985" w:type="dxa"/>
            <w:tcBorders>
              <w:right w:val="nil"/>
            </w:tcBorders>
            <w:vAlign w:val="bottom"/>
          </w:tcPr>
          <w:p>
            <w:pPr>
              <w:ind w:right="74" w:rightChars="31"/>
              <w:jc w:val="distribute"/>
              <w:rPr>
                <w:rFonts w:ascii="黑体" w:hAnsi="黑体" w:eastAsia="黑体"/>
                <w:b/>
                <w:bCs/>
                <w:sz w:val="32"/>
                <w:szCs w:val="32"/>
              </w:rPr>
            </w:pPr>
            <w:r>
              <w:rPr>
                <w:rFonts w:hint="eastAsia" w:ascii="黑体" w:hAnsi="黑体" w:eastAsia="黑体"/>
                <w:b/>
                <w:bCs/>
                <w:spacing w:val="-20"/>
                <w:sz w:val="32"/>
                <w:szCs w:val="32"/>
              </w:rPr>
              <w:t>指</w:t>
            </w:r>
            <w:r>
              <w:rPr>
                <w:rFonts w:hint="eastAsia" w:ascii="黑体" w:hAnsi="黑体" w:eastAsia="黑体"/>
                <w:b/>
                <w:bCs/>
                <w:sz w:val="32"/>
                <w:szCs w:val="32"/>
              </w:rPr>
              <w:t>导教师：</w:t>
            </w:r>
          </w:p>
        </w:tc>
        <w:tc>
          <w:tcPr>
            <w:tcW w:w="1842" w:type="dxa"/>
            <w:tcBorders>
              <w:top w:val="single" w:color="auto" w:sz="8" w:space="0"/>
              <w:left w:val="nil"/>
              <w:bottom w:val="single" w:color="auto" w:sz="8" w:space="0"/>
              <w:right w:val="nil"/>
            </w:tcBorders>
            <w:vAlign w:val="bottom"/>
          </w:tcPr>
          <w:p>
            <w:pPr>
              <w:jc w:val="center"/>
              <w:rPr>
                <w:rFonts w:ascii="黑体" w:hAnsi="黑体" w:eastAsia="黑体"/>
                <w:bCs/>
                <w:sz w:val="32"/>
              </w:rPr>
            </w:pPr>
            <w:r>
              <w:rPr>
                <w:rFonts w:hint="eastAsia" w:ascii="仿宋_GB2312" w:hAnsi="黑体" w:eastAsia="仿宋_GB2312"/>
                <w:bCs/>
                <w:sz w:val="30"/>
                <w:szCs w:val="30"/>
              </w:rPr>
              <w:t>徐德良</w:t>
            </w:r>
          </w:p>
        </w:tc>
        <w:tc>
          <w:tcPr>
            <w:tcW w:w="1276" w:type="dxa"/>
            <w:tcBorders>
              <w:top w:val="single" w:color="auto" w:sz="8" w:space="0"/>
              <w:left w:val="nil"/>
              <w:bottom w:val="nil"/>
              <w:right w:val="nil"/>
            </w:tcBorders>
            <w:vAlign w:val="bottom"/>
          </w:tcPr>
          <w:p>
            <w:pPr>
              <w:jc w:val="right"/>
              <w:rPr>
                <w:rFonts w:ascii="仿宋_GB2312" w:hAnsi="黑体" w:eastAsia="仿宋_GB2312"/>
                <w:bCs/>
                <w:sz w:val="30"/>
                <w:szCs w:val="30"/>
              </w:rPr>
            </w:pPr>
            <w:r>
              <w:rPr>
                <w:rFonts w:hint="eastAsia" w:ascii="黑体" w:hAnsi="黑体" w:eastAsia="黑体"/>
                <w:bCs/>
                <w:sz w:val="32"/>
              </w:rPr>
              <w:t>职称：</w:t>
            </w:r>
          </w:p>
        </w:tc>
        <w:tc>
          <w:tcPr>
            <w:tcW w:w="1418" w:type="dxa"/>
            <w:tcBorders>
              <w:top w:val="single" w:color="auto" w:sz="8" w:space="0"/>
              <w:left w:val="nil"/>
              <w:bottom w:val="single" w:color="auto" w:sz="8" w:space="0"/>
              <w:right w:val="nil"/>
            </w:tcBorders>
            <w:vAlign w:val="bottom"/>
          </w:tcPr>
          <w:p>
            <w:pPr>
              <w:rPr>
                <w:rFonts w:ascii="仿宋_GB2312" w:hAnsi="黑体" w:eastAsia="仿宋_GB2312"/>
                <w:bCs/>
                <w:sz w:val="30"/>
                <w:szCs w:val="30"/>
              </w:rPr>
            </w:pPr>
            <w:r>
              <w:rPr>
                <w:rFonts w:hint="eastAsia" w:ascii="仿宋_GB2312" w:hAnsi="黑体" w:eastAsia="仿宋_GB2312"/>
                <w:bCs/>
                <w:sz w:val="30"/>
                <w:szCs w:val="30"/>
              </w:rPr>
              <w:t>副教授</w:t>
            </w:r>
          </w:p>
        </w:tc>
        <w:tc>
          <w:tcPr>
            <w:tcW w:w="1358" w:type="dxa"/>
            <w:tcBorders>
              <w:left w:val="nil"/>
            </w:tcBorders>
            <w:vAlign w:val="center"/>
          </w:tcPr>
          <w:p>
            <w:pPr>
              <w:rPr>
                <w:rFonts w:ascii="黑体" w:hAnsi="黑体" w:eastAsia="黑体"/>
                <w:bCs/>
                <w:sz w:val="32"/>
              </w:rPr>
            </w:pPr>
          </w:p>
        </w:tc>
      </w:tr>
      <w:tr>
        <w:tblPrEx>
          <w:tblCellMar>
            <w:top w:w="0" w:type="dxa"/>
            <w:left w:w="108" w:type="dxa"/>
            <w:bottom w:w="0" w:type="dxa"/>
            <w:right w:w="108" w:type="dxa"/>
          </w:tblCellMar>
        </w:tblPrEx>
        <w:trPr>
          <w:cantSplit/>
          <w:trHeight w:val="866" w:hRule="atLeast"/>
        </w:trPr>
        <w:tc>
          <w:tcPr>
            <w:tcW w:w="9155" w:type="dxa"/>
            <w:gridSpan w:val="6"/>
            <w:vAlign w:val="center"/>
          </w:tcPr>
          <w:p>
            <w:pPr>
              <w:jc w:val="center"/>
              <w:rPr>
                <w:rFonts w:ascii="方正姚体" w:eastAsia="方正姚体"/>
                <w:sz w:val="32"/>
              </w:rPr>
            </w:pPr>
          </w:p>
          <w:p>
            <w:pPr>
              <w:jc w:val="center"/>
              <w:rPr>
                <w:rFonts w:ascii="方正姚体" w:eastAsia="方正姚体"/>
                <w:sz w:val="32"/>
              </w:rPr>
            </w:pPr>
          </w:p>
          <w:p>
            <w:pPr>
              <w:jc w:val="center"/>
              <w:rPr>
                <w:rFonts w:ascii="方正姚体" w:eastAsia="方正姚体"/>
                <w:sz w:val="32"/>
              </w:rPr>
            </w:pPr>
          </w:p>
          <w:p>
            <w:pPr>
              <w:jc w:val="center"/>
              <w:rPr>
                <w:rFonts w:ascii="方正姚体" w:eastAsia="方正姚体"/>
                <w:sz w:val="32"/>
              </w:rPr>
            </w:pPr>
          </w:p>
          <w:p>
            <w:pPr>
              <w:jc w:val="center"/>
              <w:rPr>
                <w:rFonts w:ascii="方正姚体" w:eastAsia="方正姚体"/>
                <w:sz w:val="32"/>
              </w:rPr>
            </w:pPr>
          </w:p>
          <w:p>
            <w:pPr>
              <w:jc w:val="center"/>
              <w:rPr>
                <w:rFonts w:ascii="方正姚体" w:eastAsia="方正姚体"/>
                <w:sz w:val="32"/>
              </w:rPr>
            </w:pPr>
            <w:r>
              <w:rPr>
                <w:rFonts w:hint="eastAsia" w:ascii="宋体" w:hAnsi="宋体"/>
                <w:bCs/>
                <w:sz w:val="32"/>
              </w:rPr>
              <w:t xml:space="preserve">二○二四 年 五 月 </w:t>
            </w:r>
            <w:r>
              <w:rPr>
                <w:rFonts w:hint="eastAsia" w:ascii="宋体" w:hAnsi="宋体"/>
                <w:bCs/>
                <w:sz w:val="32"/>
                <w:lang w:eastAsia="zh-CN"/>
              </w:rPr>
              <w:t>二十八</w:t>
            </w:r>
            <w:r>
              <w:rPr>
                <w:rFonts w:hint="eastAsia" w:ascii="宋体" w:hAnsi="宋体"/>
                <w:bCs/>
                <w:sz w:val="32"/>
              </w:rPr>
              <w:t xml:space="preserve"> 日</w:t>
            </w:r>
          </w:p>
        </w:tc>
      </w:tr>
    </w:tbl>
    <w:p>
      <w:pPr>
        <w:pStyle w:val="2"/>
        <w:spacing w:before="100" w:after="100"/>
        <w:jc w:val="left"/>
        <w:sectPr>
          <w:footerReference r:id="rId3" w:type="default"/>
          <w:pgSz w:w="11906" w:h="16838"/>
          <w:pgMar w:top="1304" w:right="1304" w:bottom="1134" w:left="1361" w:header="720" w:footer="720" w:gutter="0"/>
          <w:pgNumType w:fmt="lowerRoman"/>
          <w:cols w:space="720" w:num="1"/>
          <w:docGrid w:linePitch="360" w:charSpace="0"/>
        </w:sectPr>
      </w:pPr>
    </w:p>
    <w:p>
      <w:pPr>
        <w:spacing w:line="360" w:lineRule="auto"/>
        <w:jc w:val="center"/>
        <w:rPr>
          <w:rFonts w:ascii="黑体" w:eastAsia="黑体"/>
          <w:color w:val="000000" w:themeColor="text1"/>
          <w:sz w:val="32"/>
          <w:szCs w:val="32"/>
          <w14:textFill>
            <w14:solidFill>
              <w14:schemeClr w14:val="tx1"/>
            </w14:solidFill>
          </w14:textFill>
        </w:rPr>
      </w:pPr>
      <w:r>
        <w:rPr>
          <w:rFonts w:hint="eastAsia" w:ascii="黑体" w:eastAsia="黑体"/>
          <w:color w:val="000000" w:themeColor="text1"/>
          <w:sz w:val="32"/>
          <w:szCs w:val="32"/>
          <w14:textFill>
            <w14:solidFill>
              <w14:schemeClr w14:val="tx1"/>
            </w14:solidFill>
          </w14:textFill>
        </w:rPr>
        <w:t>致  谢</w:t>
      </w:r>
    </w:p>
    <w:p>
      <w:pPr>
        <w:spacing w:line="440" w:lineRule="exact"/>
        <w:ind w:firstLine="480" w:firstLineChars="200"/>
        <w:jc w:val="both"/>
        <w:rPr>
          <w:rFonts w:hint="eastAsia" w:ascii="楷体" w:hAnsi="楷体" w:eastAsia="楷体"/>
          <w:color w:val="000000" w:themeColor="text1"/>
          <w:szCs w:val="24"/>
          <w14:textFill>
            <w14:solidFill>
              <w14:schemeClr w14:val="tx1"/>
            </w14:solidFill>
          </w14:textFill>
        </w:rPr>
      </w:pPr>
      <w:r>
        <w:rPr>
          <w:rFonts w:hint="eastAsia" w:ascii="楷体" w:hAnsi="楷体" w:eastAsia="楷体"/>
          <w:color w:val="000000" w:themeColor="text1"/>
          <w:szCs w:val="24"/>
          <w14:textFill>
            <w14:solidFill>
              <w14:schemeClr w14:val="tx1"/>
            </w14:solidFill>
          </w14:textFill>
        </w:rPr>
        <w:t>在</w:t>
      </w:r>
      <w:r>
        <w:rPr>
          <w:rFonts w:hint="eastAsia" w:ascii="楷体" w:hAnsi="楷体" w:eastAsia="楷体"/>
          <w:color w:val="000000" w:themeColor="text1"/>
          <w:szCs w:val="24"/>
          <w:lang w:eastAsia="zh-CN"/>
          <w14:textFill>
            <w14:solidFill>
              <w14:schemeClr w14:val="tx1"/>
            </w14:solidFill>
          </w14:textFill>
        </w:rPr>
        <w:t>将要</w:t>
      </w:r>
      <w:r>
        <w:rPr>
          <w:rFonts w:hint="eastAsia" w:ascii="楷体" w:hAnsi="楷体" w:eastAsia="楷体"/>
          <w:color w:val="000000" w:themeColor="text1"/>
          <w:szCs w:val="24"/>
          <w14:textFill>
            <w14:solidFill>
              <w14:schemeClr w14:val="tx1"/>
            </w14:solidFill>
          </w14:textFill>
        </w:rPr>
        <w:t>完成</w:t>
      </w:r>
      <w:r>
        <w:rPr>
          <w:rFonts w:hint="eastAsia" w:ascii="楷体" w:hAnsi="楷体" w:eastAsia="楷体"/>
          <w:color w:val="000000" w:themeColor="text1"/>
          <w:szCs w:val="24"/>
          <w:lang w:eastAsia="zh-CN"/>
          <w14:textFill>
            <w14:solidFill>
              <w14:schemeClr w14:val="tx1"/>
            </w14:solidFill>
          </w14:textFill>
        </w:rPr>
        <w:t>本科</w:t>
      </w:r>
      <w:r>
        <w:rPr>
          <w:rFonts w:hint="eastAsia" w:ascii="楷体" w:hAnsi="楷体" w:eastAsia="楷体"/>
          <w:color w:val="000000" w:themeColor="text1"/>
          <w:szCs w:val="24"/>
          <w14:textFill>
            <w14:solidFill>
              <w14:schemeClr w14:val="tx1"/>
            </w14:solidFill>
          </w14:textFill>
        </w:rPr>
        <w:t>学位论文的时刻，我想向在我的学业旅程中给予帮助和支持的人们表示深深的感谢之意。感谢</w:t>
      </w:r>
      <w:r>
        <w:rPr>
          <w:rFonts w:hint="eastAsia" w:ascii="楷体" w:hAnsi="楷体" w:eastAsia="楷体"/>
          <w:color w:val="000000" w:themeColor="text1"/>
          <w:szCs w:val="24"/>
          <w:lang w:eastAsia="zh-CN"/>
          <w14:textFill>
            <w14:solidFill>
              <w14:schemeClr w14:val="tx1"/>
            </w14:solidFill>
          </w14:textFill>
        </w:rPr>
        <w:t>你们</w:t>
      </w:r>
      <w:r>
        <w:rPr>
          <w:rFonts w:hint="eastAsia" w:ascii="楷体" w:hAnsi="楷体" w:eastAsia="楷体"/>
          <w:color w:val="000000" w:themeColor="text1"/>
          <w:szCs w:val="24"/>
          <w14:textFill>
            <w14:solidFill>
              <w14:schemeClr w14:val="tx1"/>
            </w14:solidFill>
          </w14:textFill>
        </w:rPr>
        <w:t>细致的指导、灵感和帮助，我</w:t>
      </w:r>
      <w:r>
        <w:rPr>
          <w:rFonts w:hint="eastAsia" w:ascii="楷体" w:hAnsi="楷体" w:eastAsia="楷体"/>
          <w:color w:val="000000" w:themeColor="text1"/>
          <w:szCs w:val="24"/>
          <w:lang w:eastAsia="zh-CN"/>
          <w14:textFill>
            <w14:solidFill>
              <w14:schemeClr w14:val="tx1"/>
            </w14:solidFill>
          </w14:textFill>
        </w:rPr>
        <w:t>才得以</w:t>
      </w:r>
      <w:r>
        <w:rPr>
          <w:rFonts w:hint="eastAsia" w:ascii="楷体" w:hAnsi="楷体" w:eastAsia="楷体"/>
          <w:color w:val="000000" w:themeColor="text1"/>
          <w:szCs w:val="24"/>
          <w14:textFill>
            <w14:solidFill>
              <w14:schemeClr w14:val="tx1"/>
            </w14:solidFill>
          </w14:textFill>
        </w:rPr>
        <w:t>成功地完成了这项工作并顺利完成</w:t>
      </w:r>
      <w:r>
        <w:rPr>
          <w:rFonts w:hint="eastAsia" w:ascii="楷体" w:hAnsi="楷体" w:eastAsia="楷体"/>
          <w:color w:val="000000" w:themeColor="text1"/>
          <w:szCs w:val="24"/>
          <w:lang w:eastAsia="zh-CN"/>
          <w14:textFill>
            <w14:solidFill>
              <w14:schemeClr w14:val="tx1"/>
            </w14:solidFill>
          </w14:textFill>
        </w:rPr>
        <w:t>本科学业</w:t>
      </w:r>
      <w:r>
        <w:rPr>
          <w:rFonts w:hint="eastAsia" w:ascii="楷体" w:hAnsi="楷体" w:eastAsia="楷体"/>
          <w:color w:val="000000" w:themeColor="text1"/>
          <w:szCs w:val="24"/>
          <w14:textFill>
            <w14:solidFill>
              <w14:schemeClr w14:val="tx1"/>
            </w14:solidFill>
          </w14:textFill>
        </w:rPr>
        <w:t>。</w:t>
      </w:r>
    </w:p>
    <w:p>
      <w:pPr>
        <w:spacing w:line="440" w:lineRule="exact"/>
        <w:ind w:firstLine="480" w:firstLineChars="200"/>
        <w:jc w:val="both"/>
        <w:rPr>
          <w:rFonts w:ascii="楷体" w:hAnsi="楷体" w:eastAsia="楷体"/>
          <w:color w:val="000000" w:themeColor="text1"/>
          <w:szCs w:val="24"/>
          <w14:textFill>
            <w14:solidFill>
              <w14:schemeClr w14:val="tx1"/>
            </w14:solidFill>
          </w14:textFill>
        </w:rPr>
      </w:pPr>
      <w:r>
        <w:rPr>
          <w:rFonts w:hint="eastAsia" w:ascii="楷体" w:hAnsi="楷体" w:eastAsia="楷体"/>
          <w:color w:val="000000" w:themeColor="text1"/>
          <w:szCs w:val="24"/>
          <w14:textFill>
            <w14:solidFill>
              <w14:schemeClr w14:val="tx1"/>
            </w14:solidFill>
          </w14:textFill>
        </w:rPr>
        <w:t>首先，我要对我的导师徐德良教授和张力学长表达我诚挚的谢意。感谢你们在整个研究过程中所给予的悉心指导和支持。你们对我的工作提供了极具价值的反馈和建议，这极大地促进了我的研究项目的发展与完善。同时，你们对我的学术兴趣和发展给予了极大的关注和帮助，让我在学术道路上更加坚定和自信。再次向你们表达我最诚挚的谢意。</w:t>
      </w:r>
    </w:p>
    <w:p>
      <w:pPr>
        <w:spacing w:line="440" w:lineRule="exact"/>
        <w:ind w:firstLine="480" w:firstLineChars="200"/>
        <w:jc w:val="both"/>
        <w:rPr>
          <w:rFonts w:ascii="楷体" w:hAnsi="楷体" w:eastAsia="楷体"/>
          <w:color w:val="000000" w:themeColor="text1"/>
          <w:szCs w:val="24"/>
          <w14:textFill>
            <w14:solidFill>
              <w14:schemeClr w14:val="tx1"/>
            </w14:solidFill>
          </w14:textFill>
        </w:rPr>
      </w:pPr>
      <w:r>
        <w:rPr>
          <w:rFonts w:hint="eastAsia" w:ascii="楷体" w:hAnsi="楷体" w:eastAsia="楷体"/>
          <w:color w:val="000000" w:themeColor="text1"/>
          <w:szCs w:val="24"/>
          <w14:textFill>
            <w14:solidFill>
              <w14:schemeClr w14:val="tx1"/>
            </w14:solidFill>
          </w14:textFill>
        </w:rPr>
        <w:t>我也想感谢我的家人</w:t>
      </w:r>
      <w:r>
        <w:rPr>
          <w:rFonts w:hint="eastAsia" w:ascii="楷体" w:hAnsi="楷体" w:eastAsia="楷体"/>
          <w:color w:val="000000" w:themeColor="text1"/>
          <w:szCs w:val="24"/>
          <w:lang w:eastAsia="zh-CN"/>
          <w14:textFill>
            <w14:solidFill>
              <w14:schemeClr w14:val="tx1"/>
            </w14:solidFill>
          </w14:textFill>
        </w:rPr>
        <w:t>，</w:t>
      </w:r>
      <w:r>
        <w:rPr>
          <w:rFonts w:hint="eastAsia" w:ascii="楷体" w:hAnsi="楷体" w:eastAsia="楷体"/>
          <w:color w:val="000000" w:themeColor="text1"/>
          <w:szCs w:val="24"/>
          <w14:textFill>
            <w14:solidFill>
              <w14:schemeClr w14:val="tx1"/>
            </w14:solidFill>
          </w14:textFill>
        </w:rPr>
        <w:t>你们一直以来的鼓励</w:t>
      </w:r>
      <w:r>
        <w:rPr>
          <w:rFonts w:hint="eastAsia" w:ascii="楷体" w:hAnsi="楷体" w:eastAsia="楷体"/>
          <w:color w:val="000000" w:themeColor="text1"/>
          <w:szCs w:val="24"/>
          <w:lang w:eastAsia="zh-CN"/>
          <w14:textFill>
            <w14:solidFill>
              <w14:schemeClr w14:val="tx1"/>
            </w14:solidFill>
          </w14:textFill>
        </w:rPr>
        <w:t>和陪伴</w:t>
      </w:r>
      <w:r>
        <w:rPr>
          <w:rFonts w:hint="eastAsia" w:ascii="楷体" w:hAnsi="楷体" w:eastAsia="楷体"/>
          <w:color w:val="000000" w:themeColor="text1"/>
          <w:szCs w:val="24"/>
          <w14:textFill>
            <w14:solidFill>
              <w14:schemeClr w14:val="tx1"/>
            </w14:solidFill>
          </w14:textFill>
        </w:rPr>
        <w:t>使我能够</w:t>
      </w:r>
      <w:r>
        <w:rPr>
          <w:rFonts w:hint="eastAsia" w:ascii="楷体" w:hAnsi="楷体" w:eastAsia="楷体"/>
          <w:color w:val="000000" w:themeColor="text1"/>
          <w:szCs w:val="24"/>
          <w:lang w:eastAsia="zh-CN"/>
          <w14:textFill>
            <w14:solidFill>
              <w14:schemeClr w14:val="tx1"/>
            </w14:solidFill>
          </w14:textFill>
        </w:rPr>
        <w:t>专注</w:t>
      </w:r>
      <w:r>
        <w:rPr>
          <w:rFonts w:hint="eastAsia" w:ascii="楷体" w:hAnsi="楷体" w:eastAsia="楷体"/>
          <w:color w:val="000000" w:themeColor="text1"/>
          <w:szCs w:val="24"/>
          <w14:textFill>
            <w14:solidFill>
              <w14:schemeClr w14:val="tx1"/>
            </w14:solidFill>
          </w14:textFill>
        </w:rPr>
        <w:t>地投入</w:t>
      </w:r>
      <w:r>
        <w:rPr>
          <w:rFonts w:hint="eastAsia" w:ascii="楷体" w:hAnsi="楷体" w:eastAsia="楷体"/>
          <w:color w:val="000000" w:themeColor="text1"/>
          <w:szCs w:val="24"/>
          <w:lang w:eastAsia="zh-CN"/>
          <w14:textFill>
            <w14:solidFill>
              <w14:schemeClr w14:val="tx1"/>
            </w14:solidFill>
          </w14:textFill>
        </w:rPr>
        <w:t>学业</w:t>
      </w:r>
      <w:r>
        <w:rPr>
          <w:rFonts w:hint="eastAsia" w:ascii="楷体" w:hAnsi="楷体" w:eastAsia="楷体"/>
          <w:color w:val="000000" w:themeColor="text1"/>
          <w:szCs w:val="24"/>
          <w14:textFill>
            <w14:solidFill>
              <w14:schemeClr w14:val="tx1"/>
            </w14:solidFill>
          </w14:textFill>
        </w:rPr>
        <w:t>。你们的信任和支持是我前进的动力，是我不断追求卓越的力量。在此，我向你们表达深深的感激和爱意。</w:t>
      </w:r>
    </w:p>
    <w:p>
      <w:pPr>
        <w:spacing w:line="440" w:lineRule="exact"/>
        <w:ind w:firstLine="480" w:firstLineChars="200"/>
        <w:jc w:val="both"/>
        <w:rPr>
          <w:rFonts w:hint="eastAsia" w:ascii="楷体" w:hAnsi="楷体" w:eastAsia="楷体"/>
          <w:color w:val="000000" w:themeColor="text1"/>
          <w:szCs w:val="24"/>
          <w14:textFill>
            <w14:solidFill>
              <w14:schemeClr w14:val="tx1"/>
            </w14:solidFill>
          </w14:textFill>
        </w:rPr>
      </w:pPr>
      <w:r>
        <w:rPr>
          <w:rFonts w:hint="eastAsia" w:ascii="楷体" w:hAnsi="楷体" w:eastAsia="楷体"/>
          <w:color w:val="000000" w:themeColor="text1"/>
          <w:szCs w:val="24"/>
          <w14:textFill>
            <w14:solidFill>
              <w14:schemeClr w14:val="tx1"/>
            </w14:solidFill>
          </w14:textFill>
        </w:rPr>
        <w:t>此外，我也必须向我的同学和朋友们表示感谢。感激你们在学业和生活中与我同行，互相支持和激励。你们的友情和伴随让我体验了许多难以忘怀的时刻，你们的才智也成为了我不断前进的动力。在此，我衷心感谢每一位朋友。</w:t>
      </w:r>
    </w:p>
    <w:p>
      <w:pPr>
        <w:spacing w:line="440" w:lineRule="exact"/>
        <w:ind w:firstLine="480" w:firstLineChars="200"/>
        <w:jc w:val="both"/>
        <w:rPr>
          <w:rFonts w:ascii="楷体" w:hAnsi="楷体" w:eastAsia="楷体"/>
          <w:color w:val="000000" w:themeColor="text1"/>
          <w:szCs w:val="24"/>
          <w14:textFill>
            <w14:solidFill>
              <w14:schemeClr w14:val="tx1"/>
            </w14:solidFill>
          </w14:textFill>
        </w:rPr>
      </w:pPr>
      <w:r>
        <w:rPr>
          <w:rFonts w:hint="eastAsia" w:ascii="楷体" w:hAnsi="楷体" w:eastAsia="楷体"/>
          <w:color w:val="000000" w:themeColor="text1"/>
          <w:szCs w:val="24"/>
          <w14:textFill>
            <w14:solidFill>
              <w14:schemeClr w14:val="tx1"/>
            </w14:solidFill>
          </w14:textFill>
        </w:rPr>
        <w:t>由于</w:t>
      </w:r>
      <w:r>
        <w:rPr>
          <w:rFonts w:hint="eastAsia" w:ascii="楷体" w:hAnsi="楷体" w:eastAsia="楷体"/>
          <w:color w:val="000000" w:themeColor="text1"/>
          <w:szCs w:val="24"/>
          <w:lang w:eastAsia="zh-CN"/>
          <w14:textFill>
            <w14:solidFill>
              <w14:schemeClr w14:val="tx1"/>
            </w14:solidFill>
          </w14:textFill>
        </w:rPr>
        <w:t>辞藻所限</w:t>
      </w:r>
      <w:r>
        <w:rPr>
          <w:rFonts w:hint="eastAsia" w:ascii="楷体" w:hAnsi="楷体" w:eastAsia="楷体"/>
          <w:color w:val="000000" w:themeColor="text1"/>
          <w:szCs w:val="24"/>
          <w14:textFill>
            <w14:solidFill>
              <w14:schemeClr w14:val="tx1"/>
            </w14:solidFill>
          </w14:textFill>
        </w:rPr>
        <w:t>，我无法完全表达出我内心深处所感受到的感激之情，但我希望</w:t>
      </w:r>
      <w:r>
        <w:rPr>
          <w:rFonts w:hint="eastAsia" w:ascii="楷体" w:hAnsi="楷体" w:eastAsia="楷体"/>
          <w:color w:val="000000" w:themeColor="text1"/>
          <w:szCs w:val="24"/>
          <w:lang w:eastAsia="zh-CN"/>
          <w14:textFill>
            <w14:solidFill>
              <w14:schemeClr w14:val="tx1"/>
            </w14:solidFill>
          </w14:textFill>
        </w:rPr>
        <w:t>你们</w:t>
      </w:r>
      <w:r>
        <w:rPr>
          <w:rFonts w:hint="eastAsia" w:ascii="楷体" w:hAnsi="楷体" w:eastAsia="楷体"/>
          <w:color w:val="000000" w:themeColor="text1"/>
          <w:szCs w:val="24"/>
          <w14:textFill>
            <w14:solidFill>
              <w14:schemeClr w14:val="tx1"/>
            </w14:solidFill>
          </w14:textFill>
        </w:rPr>
        <w:t>能理解</w:t>
      </w:r>
      <w:r>
        <w:rPr>
          <w:rFonts w:hint="eastAsia" w:ascii="楷体" w:hAnsi="楷体" w:eastAsia="楷体"/>
          <w:color w:val="000000" w:themeColor="text1"/>
          <w:szCs w:val="24"/>
          <w:lang w:eastAsia="zh-CN"/>
          <w14:textFill>
            <w14:solidFill>
              <w14:schemeClr w14:val="tx1"/>
            </w14:solidFill>
          </w14:textFill>
        </w:rPr>
        <w:t>你们</w:t>
      </w:r>
      <w:r>
        <w:rPr>
          <w:rFonts w:hint="eastAsia" w:ascii="楷体" w:hAnsi="楷体" w:eastAsia="楷体"/>
          <w:color w:val="000000" w:themeColor="text1"/>
          <w:szCs w:val="24"/>
          <w14:textFill>
            <w14:solidFill>
              <w14:schemeClr w14:val="tx1"/>
            </w14:solidFill>
          </w14:textFill>
        </w:rPr>
        <w:t>所给予我的帮助和支持对我来说具有特殊的意义。在未来的</w:t>
      </w:r>
      <w:r>
        <w:rPr>
          <w:rFonts w:hint="eastAsia" w:ascii="楷体" w:hAnsi="楷体" w:eastAsia="楷体"/>
          <w:color w:val="000000" w:themeColor="text1"/>
          <w:szCs w:val="24"/>
          <w:lang w:eastAsia="zh-CN"/>
          <w14:textFill>
            <w14:solidFill>
              <w14:schemeClr w14:val="tx1"/>
            </w14:solidFill>
          </w14:textFill>
        </w:rPr>
        <w:t>工作</w:t>
      </w:r>
      <w:r>
        <w:rPr>
          <w:rFonts w:hint="eastAsia" w:ascii="楷体" w:hAnsi="楷体" w:eastAsia="楷体"/>
          <w:color w:val="000000" w:themeColor="text1"/>
          <w:szCs w:val="24"/>
          <w14:textFill>
            <w14:solidFill>
              <w14:schemeClr w14:val="tx1"/>
            </w14:solidFill>
          </w14:textFill>
        </w:rPr>
        <w:t>和事业中，我将继续发奋努力，力求不辜负大家的期望，并为社会作出更多的贡献。再次向所有支持和帮助过我的人们表示最衷心的感谢！</w:t>
      </w:r>
    </w:p>
    <w:p>
      <w:pPr>
        <w:spacing w:line="440" w:lineRule="exact"/>
        <w:ind w:firstLine="480" w:firstLineChars="200"/>
        <w:jc w:val="both"/>
        <w:rPr>
          <w:rFonts w:ascii="楷体" w:hAnsi="楷体" w:eastAsia="楷体"/>
          <w:color w:val="000000" w:themeColor="text1"/>
          <w:szCs w:val="24"/>
          <w14:textFill>
            <w14:solidFill>
              <w14:schemeClr w14:val="tx1"/>
            </w14:solidFill>
          </w14:textFill>
        </w:rPr>
      </w:pPr>
      <w:r>
        <w:rPr>
          <w:rFonts w:hint="eastAsia" w:ascii="楷体" w:hAnsi="楷体" w:eastAsia="楷体"/>
          <w:color w:val="000000" w:themeColor="text1"/>
          <w:szCs w:val="24"/>
          <w14:textFill>
            <w14:solidFill>
              <w14:schemeClr w14:val="tx1"/>
            </w14:solidFill>
          </w14:textFill>
        </w:rPr>
        <w:t>谨以此文献给你们。</w:t>
      </w:r>
    </w:p>
    <w:p>
      <w:pPr>
        <w:spacing w:line="440" w:lineRule="exact"/>
        <w:ind w:firstLine="480" w:firstLineChars="200"/>
        <w:jc w:val="both"/>
        <w:rPr>
          <w:rFonts w:ascii="楷体" w:hAnsi="楷体" w:eastAsia="楷体"/>
          <w:color w:val="000000" w:themeColor="text1"/>
          <w:szCs w:val="24"/>
          <w14:textFill>
            <w14:solidFill>
              <w14:schemeClr w14:val="tx1"/>
            </w14:solidFill>
          </w14:textFill>
        </w:rPr>
      </w:pPr>
      <w:r>
        <w:rPr>
          <w:rFonts w:hint="eastAsia" w:ascii="楷体" w:hAnsi="楷体" w:eastAsia="楷体"/>
          <w:color w:val="000000" w:themeColor="text1"/>
          <w:szCs w:val="24"/>
          <w14:textFill>
            <w14:solidFill>
              <w14:schemeClr w14:val="tx1"/>
            </w14:solidFill>
          </w14:textFill>
        </w:rPr>
        <w:t>衷心感谢！</w:t>
      </w:r>
    </w:p>
    <w:p>
      <w:pPr>
        <w:wordWrap w:val="0"/>
        <w:spacing w:line="440" w:lineRule="exact"/>
        <w:jc w:val="right"/>
        <w:rPr>
          <w:rFonts w:ascii="楷体" w:hAnsi="楷体" w:eastAsia="楷体"/>
          <w:color w:val="000000" w:themeColor="text1"/>
          <w:szCs w:val="24"/>
          <w14:textFill>
            <w14:solidFill>
              <w14:schemeClr w14:val="tx1"/>
            </w14:solidFill>
          </w14:textFill>
        </w:rPr>
      </w:pPr>
      <w:r>
        <w:rPr>
          <w:rFonts w:hint="eastAsia" w:ascii="楷体" w:hAnsi="楷体" w:eastAsia="楷体"/>
          <w:color w:val="000000" w:themeColor="text1"/>
          <w:szCs w:val="24"/>
          <w14:textFill>
            <w14:solidFill>
              <w14:schemeClr w14:val="tx1"/>
            </w14:solidFill>
          </w14:textFill>
        </w:rPr>
        <w:t>作者：陈尊来</w:t>
      </w:r>
      <w:r>
        <w:rPr>
          <w:rFonts w:hint="eastAsia" w:ascii="楷体" w:hAnsi="楷体" w:eastAsia="楷体"/>
          <w:color w:val="000000" w:themeColor="text1"/>
          <w:szCs w:val="24"/>
          <w:lang w:val="en-US" w:eastAsia="zh-CN"/>
          <w14:textFill>
            <w14:solidFill>
              <w14:schemeClr w14:val="tx1"/>
            </w14:solidFill>
          </w14:textFill>
        </w:rPr>
        <w:t xml:space="preserve">  </w:t>
      </w:r>
      <w:r>
        <w:rPr>
          <w:rFonts w:hint="eastAsia" w:ascii="楷体" w:hAnsi="楷体" w:eastAsia="楷体"/>
          <w:color w:val="000000" w:themeColor="text1"/>
          <w:szCs w:val="24"/>
          <w14:textFill>
            <w14:solidFill>
              <w14:schemeClr w14:val="tx1"/>
            </w14:solidFill>
          </w14:textFill>
        </w:rPr>
        <w:t xml:space="preserve">     </w:t>
      </w:r>
    </w:p>
    <w:p>
      <w:pPr>
        <w:spacing w:line="440" w:lineRule="exact"/>
        <w:jc w:val="right"/>
        <w:rPr>
          <w:rFonts w:ascii="楷体" w:hAnsi="楷体" w:eastAsia="楷体"/>
          <w:color w:val="000000" w:themeColor="text1"/>
          <w:szCs w:val="24"/>
          <w14:textFill>
            <w14:solidFill>
              <w14:schemeClr w14:val="tx1"/>
            </w14:solidFill>
          </w14:textFill>
        </w:rPr>
      </w:pPr>
      <w:r>
        <w:rPr>
          <w:rFonts w:hint="eastAsia" w:ascii="楷体" w:hAnsi="楷体" w:eastAsia="楷体"/>
          <w:color w:val="000000" w:themeColor="text1"/>
          <w:szCs w:val="24"/>
          <w14:textFill>
            <w14:solidFill>
              <w14:schemeClr w14:val="tx1"/>
            </w14:solidFill>
          </w14:textFill>
        </w:rPr>
        <w:t xml:space="preserve">                                             二○二四 年 五 月 </w:t>
      </w:r>
      <w:r>
        <w:rPr>
          <w:rFonts w:hint="eastAsia" w:ascii="楷体" w:hAnsi="楷体" w:eastAsia="楷体"/>
          <w:color w:val="000000" w:themeColor="text1"/>
          <w:szCs w:val="24"/>
          <w:lang w:eastAsia="zh-CN"/>
          <w14:textFill>
            <w14:solidFill>
              <w14:schemeClr w14:val="tx1"/>
            </w14:solidFill>
          </w14:textFill>
        </w:rPr>
        <w:t>二十八</w:t>
      </w:r>
      <w:r>
        <w:rPr>
          <w:rFonts w:hint="eastAsia" w:ascii="楷体" w:hAnsi="楷体" w:eastAsia="楷体"/>
          <w:color w:val="000000" w:themeColor="text1"/>
          <w:szCs w:val="24"/>
          <w14:textFill>
            <w14:solidFill>
              <w14:schemeClr w14:val="tx1"/>
            </w14:solidFill>
          </w14:textFill>
        </w:rPr>
        <w:t xml:space="preserve"> 日</w:t>
      </w:r>
    </w:p>
    <w:p>
      <w:pPr>
        <w:spacing w:before="120" w:beforeLines="50" w:line="360" w:lineRule="auto"/>
        <w:ind w:right="480" w:rightChars="200"/>
        <w:rPr>
          <w:rFonts w:ascii="黑体" w:eastAsia="黑体"/>
          <w:color w:val="000000" w:themeColor="text1"/>
          <w:sz w:val="32"/>
          <w:szCs w:val="32"/>
          <w14:textFill>
            <w14:solidFill>
              <w14:schemeClr w14:val="tx1"/>
            </w14:solidFill>
          </w14:textFill>
        </w:rPr>
      </w:pPr>
    </w:p>
    <w:p>
      <w:pPr>
        <w:rPr>
          <w:rFonts w:ascii="黑体" w:eastAsia="黑体"/>
          <w:color w:val="000000" w:themeColor="text1"/>
          <w:sz w:val="32"/>
          <w:szCs w:val="32"/>
          <w14:textFill>
            <w14:solidFill>
              <w14:schemeClr w14:val="tx1"/>
            </w14:solidFill>
          </w14:textFill>
        </w:rPr>
      </w:pPr>
      <w:r>
        <w:rPr>
          <w:rFonts w:ascii="黑体" w:eastAsia="黑体"/>
          <w:color w:val="000000" w:themeColor="text1"/>
          <w:sz w:val="32"/>
          <w:szCs w:val="32"/>
          <w14:textFill>
            <w14:solidFill>
              <w14:schemeClr w14:val="tx1"/>
            </w14:solidFill>
          </w14:textFill>
        </w:rPr>
        <w:br w:type="page"/>
      </w:r>
    </w:p>
    <w:p>
      <w:pPr>
        <w:spacing w:before="120" w:beforeLines="50" w:line="360" w:lineRule="auto"/>
        <w:ind w:right="480" w:rightChars="200"/>
        <w:jc w:val="center"/>
        <w:rPr>
          <w:rFonts w:ascii="Calibri" w:hAnsi="Calibri" w:eastAsia="楷体_GB2312"/>
          <w:szCs w:val="24"/>
        </w:rPr>
      </w:pPr>
      <w:r>
        <w:rPr>
          <w:rFonts w:hint="eastAsia" w:ascii="黑体" w:eastAsia="黑体"/>
          <w:color w:val="000000" w:themeColor="text1"/>
          <w:sz w:val="32"/>
          <w:szCs w:val="32"/>
          <w14:textFill>
            <w14:solidFill>
              <w14:schemeClr w14:val="tx1"/>
            </w14:solidFill>
          </w14:textFill>
        </w:rPr>
        <w:t>摘  要</w:t>
      </w:r>
    </w:p>
    <w:p>
      <w:pPr>
        <w:spacing w:before="120" w:beforeLines="50" w:line="360" w:lineRule="auto"/>
        <w:ind w:right="480" w:rightChars="200" w:firstLine="480" w:firstLineChars="200"/>
        <w:jc w:val="both"/>
        <w:rPr>
          <w:rFonts w:asciiTheme="majorEastAsia" w:hAnsiTheme="majorEastAsia" w:eastAsiaTheme="majorEastAsia"/>
          <w:szCs w:val="24"/>
        </w:rPr>
      </w:pPr>
      <w:r>
        <w:rPr>
          <w:rFonts w:asciiTheme="majorEastAsia" w:hAnsiTheme="majorEastAsia" w:eastAsiaTheme="majorEastAsia"/>
          <w:szCs w:val="24"/>
        </w:rPr>
        <w:t>人造板是重要的木质制品，产量大、应用广泛，其大量使用</w:t>
      </w:r>
      <w:r>
        <w:rPr>
          <w:rFonts w:hint="eastAsia" w:asciiTheme="majorEastAsia" w:hAnsiTheme="majorEastAsia" w:eastAsiaTheme="majorEastAsia"/>
          <w:szCs w:val="24"/>
        </w:rPr>
        <w:t>亦</w:t>
      </w:r>
      <w:r>
        <w:rPr>
          <w:rFonts w:asciiTheme="majorEastAsia" w:hAnsiTheme="majorEastAsia" w:eastAsiaTheme="majorEastAsia"/>
          <w:szCs w:val="24"/>
        </w:rPr>
        <w:t>带来了相关废弃物处理问题。</w:t>
      </w:r>
      <w:r>
        <w:rPr>
          <w:rFonts w:hint="eastAsia" w:asciiTheme="majorEastAsia" w:hAnsiTheme="majorEastAsia" w:eastAsiaTheme="majorEastAsia"/>
          <w:szCs w:val="24"/>
        </w:rPr>
        <w:t>人造板</w:t>
      </w:r>
      <w:r>
        <w:rPr>
          <w:rFonts w:asciiTheme="majorEastAsia" w:hAnsiTheme="majorEastAsia" w:eastAsiaTheme="majorEastAsia"/>
          <w:szCs w:val="24"/>
        </w:rPr>
        <w:t>在生产加工过程中常常采用脲醛树脂等作为胶黏剂，致使</w:t>
      </w:r>
      <w:r>
        <w:rPr>
          <w:rFonts w:hint="eastAsia" w:asciiTheme="majorEastAsia" w:hAnsiTheme="majorEastAsia" w:eastAsiaTheme="majorEastAsia"/>
          <w:szCs w:val="24"/>
        </w:rPr>
        <w:t>其</w:t>
      </w:r>
      <w:r>
        <w:rPr>
          <w:rFonts w:asciiTheme="majorEastAsia" w:hAnsiTheme="majorEastAsia" w:eastAsiaTheme="majorEastAsia"/>
          <w:szCs w:val="24"/>
        </w:rPr>
        <w:t>中含氮较高，造成其废弃物焚烧等热转化处理过程存在</w:t>
      </w:r>
      <w:r>
        <w:rPr>
          <w:rFonts w:eastAsiaTheme="majorEastAsia"/>
          <w:szCs w:val="24"/>
        </w:rPr>
        <w:t>NO</w:t>
      </w:r>
      <w:r>
        <w:rPr>
          <w:rFonts w:eastAsiaTheme="majorEastAsia"/>
          <w:szCs w:val="24"/>
          <w:vertAlign w:val="subscript"/>
        </w:rPr>
        <w:t>x</w:t>
      </w:r>
      <w:r>
        <w:rPr>
          <w:rFonts w:asciiTheme="majorEastAsia" w:hAnsiTheme="majorEastAsia" w:eastAsiaTheme="majorEastAsia"/>
          <w:szCs w:val="24"/>
        </w:rPr>
        <w:t>污染的问题。由此，研究人造纤维板热转化过程中氮的迁移与转化对于人造板废弃物处理具有重要意义</w:t>
      </w:r>
      <w:r>
        <w:rPr>
          <w:rFonts w:hint="eastAsia" w:asciiTheme="majorEastAsia" w:hAnsiTheme="majorEastAsia" w:eastAsiaTheme="majorEastAsia"/>
          <w:szCs w:val="24"/>
        </w:rPr>
        <w:t>，</w:t>
      </w:r>
      <w:r>
        <w:rPr>
          <w:rFonts w:asciiTheme="majorEastAsia" w:hAnsiTheme="majorEastAsia" w:eastAsiaTheme="majorEastAsia"/>
          <w:szCs w:val="24"/>
        </w:rPr>
        <w:t>研究半纤维素在水热转化中对液相氮元素的吸附机制对纤维板的水热转化过程中氮元素的迁移与转化</w:t>
      </w:r>
      <w:r>
        <w:rPr>
          <w:rFonts w:hint="eastAsia" w:asciiTheme="majorEastAsia" w:hAnsiTheme="majorEastAsia" w:eastAsiaTheme="majorEastAsia"/>
          <w:szCs w:val="24"/>
        </w:rPr>
        <w:t>亦</w:t>
      </w:r>
      <w:r>
        <w:rPr>
          <w:rFonts w:asciiTheme="majorEastAsia" w:hAnsiTheme="majorEastAsia" w:eastAsiaTheme="majorEastAsia"/>
          <w:szCs w:val="24"/>
        </w:rPr>
        <w:t>具有指导作用。</w:t>
      </w:r>
    </w:p>
    <w:p>
      <w:pPr>
        <w:spacing w:before="120" w:beforeLines="50" w:line="360" w:lineRule="auto"/>
        <w:ind w:right="480" w:rightChars="200" w:firstLine="480" w:firstLineChars="200"/>
        <w:jc w:val="both"/>
        <w:rPr>
          <w:rFonts w:asciiTheme="majorEastAsia" w:hAnsiTheme="majorEastAsia" w:eastAsiaTheme="majorEastAsia"/>
        </w:rPr>
      </w:pPr>
      <w:r>
        <w:rPr>
          <w:rFonts w:hint="eastAsia" w:asciiTheme="majorEastAsia" w:hAnsiTheme="majorEastAsia" w:eastAsiaTheme="majorEastAsia"/>
          <w:szCs w:val="24"/>
        </w:rPr>
        <w:t>本文以纤维板的水热反应为基础，探究木糖对纤维板水热反应中氮的固集特性的影响。实验发现</w:t>
      </w:r>
      <w:r>
        <w:rPr>
          <w:rFonts w:hint="eastAsia"/>
        </w:rPr>
        <w:t xml:space="preserve">在水热温度由180 </w:t>
      </w:r>
      <w:r>
        <w:t>°C</w:t>
      </w:r>
      <w:r>
        <w:rPr>
          <w:rFonts w:hint="eastAsia"/>
        </w:rPr>
        <w:t xml:space="preserve">上升至280 </w:t>
      </w:r>
      <w:r>
        <w:t>°C</w:t>
      </w:r>
      <w:r>
        <w:rPr>
          <w:rFonts w:hint="eastAsia"/>
        </w:rPr>
        <w:t xml:space="preserve">的过程中，水热固相产物炭中的氮质量分数递增。尤为显著的是，在220 </w:t>
      </w:r>
      <w:r>
        <w:t>°C</w:t>
      </w:r>
      <w:r>
        <w:rPr>
          <w:rFonts w:hint="eastAsia"/>
        </w:rPr>
        <w:t xml:space="preserve">时，氮的保留率达到最大值后开始逐渐下降。通过实验分析为当温度达到180 </w:t>
      </w:r>
      <w:r>
        <w:t>°C</w:t>
      </w:r>
      <w:r>
        <w:rPr>
          <w:rFonts w:hint="eastAsia"/>
        </w:rPr>
        <w:t xml:space="preserve">时，半纤维素开始发生水解反应，而当温度升至220 </w:t>
      </w:r>
      <w:r>
        <w:t>°C</w:t>
      </w:r>
      <w:r>
        <w:rPr>
          <w:rFonts w:hint="eastAsia"/>
        </w:rPr>
        <w:t>时纤维素的水解效率得到显著提升。在木质纤维素的分解过程中，大量活性氧基团在固液两相之间形成，这些氧基团的生成加强了氮固集的Maillard反应的效果。通过XPS分析，可以看出在温度升高的过程中，水热固相炭中的氮形态从</w:t>
      </w:r>
      <w:r>
        <w:rPr>
          <w:rFonts w:hint="eastAsia"/>
          <w:lang w:eastAsia="zh-CN"/>
        </w:rPr>
        <w:t>氨氮</w:t>
      </w:r>
      <w:r>
        <w:rPr>
          <w:rFonts w:hint="eastAsia"/>
        </w:rPr>
        <w:t>逐步转变为</w:t>
      </w:r>
      <w:r>
        <w:rPr>
          <w:rFonts w:hint="eastAsia"/>
          <w:lang w:eastAsia="zh-CN"/>
        </w:rPr>
        <w:t>季氮</w:t>
      </w:r>
      <w:r>
        <w:rPr>
          <w:rFonts w:hint="eastAsia"/>
        </w:rPr>
        <w:t>，这表明高温水热条件下固相产物中氮元素的结构稳定性得到了增强。</w:t>
      </w:r>
    </w:p>
    <w:p>
      <w:pPr>
        <w:spacing w:before="120" w:beforeLines="50" w:line="360" w:lineRule="auto"/>
        <w:ind w:right="480" w:rightChars="200"/>
        <w:rPr>
          <w:rFonts w:ascii="Calibri" w:hAnsi="Calibri" w:eastAsia="楷体_GB2312"/>
          <w:szCs w:val="24"/>
        </w:rPr>
      </w:pPr>
      <w:r>
        <w:rPr>
          <w:rFonts w:hint="eastAsia" w:ascii="黑体" w:hAnsi="黑体" w:eastAsia="黑体"/>
          <w:b/>
          <w:szCs w:val="24"/>
        </w:rPr>
        <w:t>关键词：</w:t>
      </w:r>
      <w:r>
        <w:rPr>
          <w:rFonts w:hint="eastAsia" w:asciiTheme="majorEastAsia" w:hAnsiTheme="majorEastAsia" w:eastAsiaTheme="majorEastAsia"/>
          <w:szCs w:val="24"/>
        </w:rPr>
        <w:t>纤维板；木糖；水热转化；</w:t>
      </w:r>
      <w:r>
        <w:rPr>
          <w:rFonts w:asciiTheme="majorEastAsia" w:hAnsiTheme="majorEastAsia" w:eastAsiaTheme="majorEastAsia"/>
          <w:szCs w:val="24"/>
        </w:rPr>
        <w:t>氮</w:t>
      </w:r>
    </w:p>
    <w:p>
      <w:pPr>
        <w:spacing w:before="120" w:beforeLines="50" w:line="360" w:lineRule="auto"/>
        <w:ind w:left="480" w:leftChars="200" w:right="480" w:rightChars="200"/>
        <w:rPr>
          <w:rFonts w:ascii="Calibri" w:hAnsi="Calibri" w:eastAsia="楷体_GB2312"/>
          <w:sz w:val="10"/>
          <w:szCs w:val="10"/>
        </w:rPr>
      </w:pPr>
    </w:p>
    <w:p>
      <w:pPr>
        <w:rPr>
          <w:rFonts w:eastAsia="楷体_GB2312"/>
          <w:b/>
          <w:bCs/>
          <w:szCs w:val="24"/>
        </w:rPr>
      </w:pPr>
      <w:r>
        <w:rPr>
          <w:rFonts w:eastAsia="楷体_GB2312"/>
          <w:b/>
          <w:bCs/>
          <w:szCs w:val="24"/>
        </w:rPr>
        <w:br w:type="page"/>
      </w:r>
    </w:p>
    <w:p>
      <w:pPr>
        <w:spacing w:before="120" w:beforeLines="50" w:line="360" w:lineRule="auto"/>
        <w:ind w:left="480" w:leftChars="200" w:right="480" w:rightChars="200"/>
        <w:jc w:val="center"/>
        <w:rPr>
          <w:rFonts w:eastAsia="楷体_GB2312"/>
          <w:b/>
          <w:bCs/>
          <w:sz w:val="32"/>
          <w:szCs w:val="32"/>
        </w:rPr>
      </w:pPr>
      <w:r>
        <w:rPr>
          <w:rFonts w:eastAsia="楷体_GB2312"/>
          <w:b/>
          <w:bCs/>
          <w:sz w:val="32"/>
          <w:szCs w:val="32"/>
        </w:rPr>
        <w:t>Study on the aggregation characteristics of nitrogen in the</w:t>
      </w:r>
    </w:p>
    <w:p>
      <w:pPr>
        <w:spacing w:before="120" w:beforeLines="50" w:line="360" w:lineRule="auto"/>
        <w:ind w:left="480" w:leftChars="200" w:right="480" w:rightChars="200"/>
        <w:jc w:val="center"/>
        <w:rPr>
          <w:rFonts w:eastAsia="楷体_GB2312"/>
          <w:b/>
          <w:bCs/>
          <w:sz w:val="32"/>
          <w:szCs w:val="32"/>
        </w:rPr>
      </w:pPr>
      <w:r>
        <w:rPr>
          <w:rFonts w:eastAsia="楷体_GB2312"/>
          <w:b/>
          <w:bCs/>
          <w:sz w:val="32"/>
          <w:szCs w:val="32"/>
        </w:rPr>
        <w:t>hydrothermal solution of xylose in fiberboard</w:t>
      </w:r>
    </w:p>
    <w:p>
      <w:pPr>
        <w:spacing w:before="120" w:beforeLines="50" w:line="360" w:lineRule="auto"/>
        <w:ind w:left="480" w:leftChars="200" w:right="480" w:rightChars="200"/>
        <w:jc w:val="center"/>
        <w:rPr>
          <w:rFonts w:eastAsia="楷体_GB2312"/>
          <w:b/>
          <w:bCs/>
          <w:sz w:val="32"/>
          <w:szCs w:val="32"/>
        </w:rPr>
      </w:pPr>
      <w:r>
        <w:rPr>
          <w:rFonts w:eastAsia="楷体_GB2312"/>
          <w:b/>
          <w:bCs/>
          <w:sz w:val="32"/>
          <w:szCs w:val="32"/>
        </w:rPr>
        <w:t>Abstract</w:t>
      </w:r>
    </w:p>
    <w:p>
      <w:pPr>
        <w:pStyle w:val="86"/>
        <w:ind w:firstLine="434"/>
        <w:jc w:val="both"/>
      </w:pPr>
      <w:r>
        <w:t>Man-made boards are significant wood products with large production volumes and wide applications. However, their extensive use also leads to related waste management issues. In the manufacturing process of man-made boards, urea-formaldehyde resins are often used as adhesives, resulting in a high nitrogen content that leads to NO</w:t>
      </w:r>
      <w:r>
        <w:rPr>
          <w:vertAlign w:val="subscript"/>
        </w:rPr>
        <w:t>x</w:t>
      </w:r>
      <w:r>
        <w:t xml:space="preserve"> pollution during thermal conversion processes such as incineration of waste. Therefore, studying the migration and transformation of nitrogen during the thermal conversion process of man-made fiber boards is of great importance for the disposal of waste from these boards. Additionally, researching the adsorption mechanism of nitrogen elements in the liquid phase by hemicellulose during hydrothermal conversion is also instructive for understanding the migration and transformation of nitrogen during the hydrothermal conversion process of fiber boards.</w:t>
      </w:r>
    </w:p>
    <w:p>
      <w:pPr>
        <w:pStyle w:val="86"/>
        <w:ind w:firstLine="434"/>
        <w:jc w:val="both"/>
      </w:pPr>
      <w:r>
        <w:t xml:space="preserve">This paper is based on the hydrothermal reaction of fiber boards, exploring the influence of xylose on the fixation characteristics of nitrogen during the hydrothermal reaction of fiber boards. The experiments found that the nitrogen mass fraction in the solid char product of hydrothermal reaction increases as the temperature rises from 180 °C to 280 °C. Notably, at 220 °C, the nitrogen retention rate reaches its maximum and then begins to decrease gradually. Experimental analysis showed that at 180 °C, hemicellulose begins to hydrolyze, and the hydrolysis of cellulose is further enhanced when the temperature reaches 220 °C. During the hydrolysis of lignocellulose, a large number of reactive oxygen groups are generated in both the solid and liquid phases, which enhance the Maillard reaction for nitrogen fixation. </w:t>
      </w:r>
      <w:r>
        <w:rPr>
          <w:rFonts w:hint="default"/>
        </w:rPr>
        <w:t>Through XPS analysis, it is observed that as the temperature increases, the nitrogen species in the hydrothermal carbonized solid phase gradually transition from ammoniacal nitrogen to quaternary nitrogen. This phenomenon indicates an enhancement in the structural stability of nitrogen in the solid phase products under high-temperature hydrothermal conditions.</w:t>
      </w:r>
    </w:p>
    <w:p>
      <w:pPr>
        <w:spacing w:before="240" w:beforeLines="100" w:line="440" w:lineRule="exact"/>
        <w:ind w:right="480" w:rightChars="200"/>
        <w:rPr>
          <w:rFonts w:eastAsia="楷体_GB2312"/>
          <w:szCs w:val="24"/>
        </w:rPr>
      </w:pPr>
      <w:r>
        <w:rPr>
          <w:rFonts w:eastAsia="楷体_GB2312"/>
          <w:b/>
          <w:bCs/>
          <w:szCs w:val="24"/>
        </w:rPr>
        <w:t xml:space="preserve">Keywords: </w:t>
      </w:r>
      <w:r>
        <w:rPr>
          <w:rFonts w:eastAsia="楷体_GB2312"/>
          <w:szCs w:val="24"/>
        </w:rPr>
        <w:t>Fiberboard; Xylose</w:t>
      </w:r>
      <w:r>
        <w:rPr>
          <w:rFonts w:hint="eastAsia" w:eastAsia="楷体_GB2312"/>
          <w:szCs w:val="24"/>
        </w:rPr>
        <w:t>;</w:t>
      </w:r>
      <w:r>
        <w:rPr>
          <w:rFonts w:eastAsia="楷体_GB2312"/>
          <w:szCs w:val="24"/>
        </w:rPr>
        <w:t xml:space="preserve"> Hydrothermal conversion; Nitrogen</w:t>
      </w:r>
    </w:p>
    <w:p>
      <w:pPr>
        <w:rPr>
          <w:rFonts w:eastAsia="楷体_GB2312"/>
          <w:szCs w:val="24"/>
        </w:rPr>
      </w:pPr>
      <w:r>
        <w:rPr>
          <w:rFonts w:eastAsia="楷体_GB2312"/>
          <w:szCs w:val="24"/>
        </w:rPr>
        <w:br w:type="page"/>
      </w:r>
    </w:p>
    <w:p>
      <w:pPr>
        <w:spacing w:line="300" w:lineRule="auto"/>
        <w:jc w:val="center"/>
        <w:rPr>
          <w:rFonts w:eastAsia="黑体" w:asciiTheme="minorHAnsi" w:hAnsiTheme="minorHAnsi" w:cstheme="minorBidi"/>
          <w:sz w:val="32"/>
          <w:szCs w:val="32"/>
        </w:rPr>
      </w:pPr>
      <w:r>
        <w:rPr>
          <w:rFonts w:hint="eastAsia" w:eastAsia="黑体" w:asciiTheme="minorHAnsi" w:hAnsiTheme="minorHAnsi" w:cstheme="minorBidi"/>
          <w:sz w:val="32"/>
          <w:szCs w:val="32"/>
        </w:rPr>
        <w:t>目</w:t>
      </w:r>
      <w:r>
        <w:rPr>
          <w:rFonts w:hint="eastAsia" w:ascii="楷体_GB2312" w:hAnsi="宋体" w:eastAsia="黑体" w:cstheme="minorBidi"/>
          <w:sz w:val="32"/>
          <w:szCs w:val="32"/>
        </w:rPr>
        <w:t xml:space="preserve">  </w:t>
      </w:r>
      <w:r>
        <w:rPr>
          <w:rFonts w:hint="eastAsia" w:eastAsia="黑体" w:asciiTheme="minorHAnsi" w:hAnsiTheme="minorHAnsi" w:cstheme="minorBidi"/>
          <w:sz w:val="32"/>
          <w:szCs w:val="32"/>
        </w:rPr>
        <w:t>录</w:t>
      </w:r>
    </w:p>
    <w:p>
      <w:pPr>
        <w:spacing w:line="300" w:lineRule="auto"/>
        <w:rPr>
          <w:rFonts w:eastAsia="黑体" w:asciiTheme="minorHAnsi" w:hAnsiTheme="minorHAnsi" w:cstheme="minorBidi"/>
          <w:sz w:val="32"/>
          <w:szCs w:val="32"/>
        </w:rPr>
      </w:pPr>
    </w:p>
    <w:p>
      <w:pPr>
        <w:pStyle w:val="143"/>
        <w:tabs>
          <w:tab w:val="right" w:leader="middleDot" w:pos="9231"/>
        </w:tabs>
        <w:spacing w:line="440" w:lineRule="exact"/>
        <w:rPr>
          <w:rFonts w:asciiTheme="minorHAnsi" w:hAnsiTheme="minorHAnsi" w:eastAsiaTheme="minorEastAsia" w:cstheme="minorBidi"/>
          <w:kern w:val="2"/>
          <w:sz w:val="21"/>
          <w:szCs w:val="22"/>
          <w14:ligatures w14:val="standardContextual"/>
        </w:rPr>
      </w:pPr>
      <w:r>
        <w:fldChar w:fldCharType="begin"/>
      </w:r>
      <w:r>
        <w:instrText xml:space="preserve"> TOC \o "1-3" \h \z \u </w:instrText>
      </w:r>
      <w:r>
        <w:fldChar w:fldCharType="separate"/>
      </w:r>
      <w:r>
        <w:fldChar w:fldCharType="begin"/>
      </w:r>
      <w:r>
        <w:instrText xml:space="preserve"> HYPERLINK \l "_Toc166450064" </w:instrText>
      </w:r>
      <w:r>
        <w:fldChar w:fldCharType="separate"/>
      </w:r>
      <w:r>
        <w:rPr>
          <w:rStyle w:val="52"/>
        </w:rPr>
        <w:t>第一章  前言</w:t>
      </w:r>
      <w:r>
        <w:tab/>
      </w:r>
      <w:r>
        <w:fldChar w:fldCharType="begin"/>
      </w:r>
      <w:r>
        <w:instrText xml:space="preserve"> PAGEREF _Toc166450064 \h </w:instrText>
      </w:r>
      <w:r>
        <w:fldChar w:fldCharType="separate"/>
      </w:r>
      <w:r>
        <w:t>1</w:t>
      </w:r>
      <w:r>
        <w:fldChar w:fldCharType="end"/>
      </w:r>
      <w:r>
        <w:fldChar w:fldCharType="end"/>
      </w:r>
    </w:p>
    <w:p>
      <w:pPr>
        <w:pStyle w:val="144"/>
        <w:tabs>
          <w:tab w:val="right" w:leader="middleDot" w:pos="9231"/>
        </w:tabs>
        <w:spacing w:line="440" w:lineRule="exact"/>
        <w:ind w:left="480"/>
        <w:rPr>
          <w:rFonts w:asciiTheme="minorHAnsi" w:hAnsiTheme="minorHAnsi" w:eastAsiaTheme="minorEastAsia" w:cstheme="minorBidi"/>
          <w:kern w:val="2"/>
          <w:sz w:val="21"/>
          <w:szCs w:val="22"/>
          <w14:ligatures w14:val="standardContextual"/>
        </w:rPr>
      </w:pPr>
      <w:r>
        <w:fldChar w:fldCharType="begin"/>
      </w:r>
      <w:r>
        <w:instrText xml:space="preserve"> HYPERLINK \l "_Toc166450065" </w:instrText>
      </w:r>
      <w:r>
        <w:fldChar w:fldCharType="separate"/>
      </w:r>
      <w:r>
        <w:rPr>
          <w:rStyle w:val="52"/>
        </w:rPr>
        <w:t>1.1  引言</w:t>
      </w:r>
      <w:r>
        <w:tab/>
      </w:r>
      <w:r>
        <w:fldChar w:fldCharType="begin"/>
      </w:r>
      <w:r>
        <w:instrText xml:space="preserve"> PAGEREF _Toc166450065 \h </w:instrText>
      </w:r>
      <w:r>
        <w:fldChar w:fldCharType="separate"/>
      </w:r>
      <w:r>
        <w:t>1</w:t>
      </w:r>
      <w:r>
        <w:fldChar w:fldCharType="end"/>
      </w:r>
      <w:r>
        <w:fldChar w:fldCharType="end"/>
      </w:r>
    </w:p>
    <w:p>
      <w:pPr>
        <w:pStyle w:val="144"/>
        <w:tabs>
          <w:tab w:val="right" w:leader="middleDot" w:pos="9231"/>
        </w:tabs>
        <w:spacing w:line="440" w:lineRule="exact"/>
        <w:ind w:left="480"/>
        <w:rPr>
          <w:rFonts w:asciiTheme="minorHAnsi" w:hAnsiTheme="minorHAnsi" w:eastAsiaTheme="minorEastAsia" w:cstheme="minorBidi"/>
          <w:kern w:val="2"/>
          <w:sz w:val="21"/>
          <w:szCs w:val="22"/>
          <w14:ligatures w14:val="standardContextual"/>
        </w:rPr>
      </w:pPr>
      <w:r>
        <w:fldChar w:fldCharType="begin"/>
      </w:r>
      <w:r>
        <w:instrText xml:space="preserve"> HYPERLINK \l "_Toc166450066" </w:instrText>
      </w:r>
      <w:r>
        <w:fldChar w:fldCharType="separate"/>
      </w:r>
      <w:r>
        <w:rPr>
          <w:rStyle w:val="52"/>
        </w:rPr>
        <w:t>1.2  生物质氮的迁移转化特性研究现状</w:t>
      </w:r>
      <w:r>
        <w:tab/>
      </w:r>
      <w:r>
        <w:fldChar w:fldCharType="begin"/>
      </w:r>
      <w:r>
        <w:instrText xml:space="preserve"> PAGEREF _Toc166450066 \h </w:instrText>
      </w:r>
      <w:r>
        <w:fldChar w:fldCharType="separate"/>
      </w:r>
      <w:r>
        <w:t>2</w:t>
      </w:r>
      <w:r>
        <w:fldChar w:fldCharType="end"/>
      </w:r>
      <w:r>
        <w:fldChar w:fldCharType="end"/>
      </w:r>
    </w:p>
    <w:p>
      <w:pPr>
        <w:pStyle w:val="145"/>
        <w:tabs>
          <w:tab w:val="right" w:leader="middleDot" w:pos="9231"/>
        </w:tabs>
        <w:spacing w:line="440" w:lineRule="exact"/>
        <w:ind w:left="960"/>
        <w:rPr>
          <w:rFonts w:asciiTheme="minorHAnsi" w:hAnsiTheme="minorHAnsi" w:eastAsiaTheme="minorEastAsia" w:cstheme="minorBidi"/>
          <w:kern w:val="2"/>
          <w:sz w:val="21"/>
          <w:szCs w:val="22"/>
          <w14:ligatures w14:val="standardContextual"/>
        </w:rPr>
      </w:pPr>
      <w:r>
        <w:fldChar w:fldCharType="begin"/>
      </w:r>
      <w:r>
        <w:instrText xml:space="preserve"> HYPERLINK \l "_Toc166450067" </w:instrText>
      </w:r>
      <w:r>
        <w:fldChar w:fldCharType="separate"/>
      </w:r>
      <w:r>
        <w:rPr>
          <w:rStyle w:val="52"/>
        </w:rPr>
        <w:t>1.2.1  热解温度对生物质氮转化方向的影响</w:t>
      </w:r>
      <w:r>
        <w:tab/>
      </w:r>
      <w:r>
        <w:fldChar w:fldCharType="begin"/>
      </w:r>
      <w:r>
        <w:instrText xml:space="preserve"> PAGEREF _Toc166450067 \h </w:instrText>
      </w:r>
      <w:r>
        <w:fldChar w:fldCharType="separate"/>
      </w:r>
      <w:r>
        <w:t>2</w:t>
      </w:r>
      <w:r>
        <w:fldChar w:fldCharType="end"/>
      </w:r>
      <w:r>
        <w:fldChar w:fldCharType="end"/>
      </w:r>
    </w:p>
    <w:p>
      <w:pPr>
        <w:pStyle w:val="145"/>
        <w:tabs>
          <w:tab w:val="right" w:leader="middleDot" w:pos="9231"/>
        </w:tabs>
        <w:spacing w:line="440" w:lineRule="exact"/>
        <w:ind w:left="960"/>
        <w:rPr>
          <w:rFonts w:asciiTheme="minorHAnsi" w:hAnsiTheme="minorHAnsi" w:eastAsiaTheme="minorEastAsia" w:cstheme="minorBidi"/>
          <w:kern w:val="2"/>
          <w:sz w:val="21"/>
          <w:szCs w:val="22"/>
          <w14:ligatures w14:val="standardContextual"/>
        </w:rPr>
      </w:pPr>
      <w:r>
        <w:fldChar w:fldCharType="begin"/>
      </w:r>
      <w:r>
        <w:instrText xml:space="preserve"> HYPERLINK \l "_Toc166450068" </w:instrText>
      </w:r>
      <w:r>
        <w:fldChar w:fldCharType="separate"/>
      </w:r>
      <w:r>
        <w:rPr>
          <w:rStyle w:val="52"/>
        </w:rPr>
        <w:t>1.2.2  热解气氛对生物质氮转化方向的影响</w:t>
      </w:r>
      <w:r>
        <w:tab/>
      </w:r>
      <w:r>
        <w:fldChar w:fldCharType="begin"/>
      </w:r>
      <w:r>
        <w:instrText xml:space="preserve"> PAGEREF _Toc166450068 \h </w:instrText>
      </w:r>
      <w:r>
        <w:fldChar w:fldCharType="separate"/>
      </w:r>
      <w:r>
        <w:t>3</w:t>
      </w:r>
      <w:r>
        <w:fldChar w:fldCharType="end"/>
      </w:r>
      <w:r>
        <w:fldChar w:fldCharType="end"/>
      </w:r>
    </w:p>
    <w:p>
      <w:pPr>
        <w:pStyle w:val="145"/>
        <w:tabs>
          <w:tab w:val="right" w:leader="middleDot" w:pos="9231"/>
        </w:tabs>
        <w:spacing w:line="440" w:lineRule="exact"/>
        <w:ind w:left="960"/>
        <w:rPr>
          <w:rFonts w:asciiTheme="minorHAnsi" w:hAnsiTheme="minorHAnsi" w:eastAsiaTheme="minorEastAsia" w:cstheme="minorBidi"/>
          <w:kern w:val="2"/>
          <w:sz w:val="21"/>
          <w:szCs w:val="22"/>
          <w14:ligatures w14:val="standardContextual"/>
        </w:rPr>
      </w:pPr>
      <w:r>
        <w:fldChar w:fldCharType="begin"/>
      </w:r>
      <w:r>
        <w:instrText xml:space="preserve"> HYPERLINK \l "_Toc166450069" </w:instrText>
      </w:r>
      <w:r>
        <w:fldChar w:fldCharType="separate"/>
      </w:r>
      <w:r>
        <w:rPr>
          <w:rStyle w:val="52"/>
        </w:rPr>
        <w:t>1.2.3  生物质内部成分对氮转化途径的影响</w:t>
      </w:r>
      <w:r>
        <w:tab/>
      </w:r>
      <w:r>
        <w:fldChar w:fldCharType="begin"/>
      </w:r>
      <w:r>
        <w:instrText xml:space="preserve"> PAGEREF _Toc166450069 \h </w:instrText>
      </w:r>
      <w:r>
        <w:fldChar w:fldCharType="separate"/>
      </w:r>
      <w:r>
        <w:t>4</w:t>
      </w:r>
      <w:r>
        <w:fldChar w:fldCharType="end"/>
      </w:r>
      <w:r>
        <w:fldChar w:fldCharType="end"/>
      </w:r>
    </w:p>
    <w:p>
      <w:pPr>
        <w:pStyle w:val="144"/>
        <w:tabs>
          <w:tab w:val="right" w:leader="middleDot" w:pos="9231"/>
        </w:tabs>
        <w:spacing w:line="440" w:lineRule="exact"/>
        <w:ind w:left="480"/>
        <w:rPr>
          <w:rFonts w:asciiTheme="minorHAnsi" w:hAnsiTheme="minorHAnsi" w:eastAsiaTheme="minorEastAsia" w:cstheme="minorBidi"/>
          <w:kern w:val="2"/>
          <w:sz w:val="21"/>
          <w:szCs w:val="22"/>
          <w14:ligatures w14:val="standardContextual"/>
        </w:rPr>
      </w:pPr>
      <w:r>
        <w:fldChar w:fldCharType="begin"/>
      </w:r>
      <w:r>
        <w:instrText xml:space="preserve"> HYPERLINK \l "_Toc166450070" </w:instrText>
      </w:r>
      <w:r>
        <w:fldChar w:fldCharType="separate"/>
      </w:r>
      <w:r>
        <w:rPr>
          <w:rStyle w:val="52"/>
        </w:rPr>
        <w:t>1.3  研究内容及意义</w:t>
      </w:r>
      <w:r>
        <w:tab/>
      </w:r>
      <w:r>
        <w:fldChar w:fldCharType="begin"/>
      </w:r>
      <w:r>
        <w:instrText xml:space="preserve"> PAGEREF _Toc166450070 \h </w:instrText>
      </w:r>
      <w:r>
        <w:fldChar w:fldCharType="separate"/>
      </w:r>
      <w:r>
        <w:t>4</w:t>
      </w:r>
      <w:r>
        <w:fldChar w:fldCharType="end"/>
      </w:r>
      <w:r>
        <w:fldChar w:fldCharType="end"/>
      </w:r>
    </w:p>
    <w:p>
      <w:pPr>
        <w:pStyle w:val="143"/>
        <w:tabs>
          <w:tab w:val="right" w:leader="middleDot" w:pos="9231"/>
        </w:tabs>
        <w:spacing w:line="440" w:lineRule="exact"/>
        <w:rPr>
          <w:rFonts w:asciiTheme="minorHAnsi" w:hAnsiTheme="minorHAnsi" w:eastAsiaTheme="minorEastAsia" w:cstheme="minorBidi"/>
          <w:kern w:val="2"/>
          <w:sz w:val="21"/>
          <w:szCs w:val="22"/>
          <w14:ligatures w14:val="standardContextual"/>
        </w:rPr>
      </w:pPr>
      <w:r>
        <w:fldChar w:fldCharType="begin"/>
      </w:r>
      <w:r>
        <w:instrText xml:space="preserve"> HYPERLINK \l "_Toc166450071" </w:instrText>
      </w:r>
      <w:r>
        <w:fldChar w:fldCharType="separate"/>
      </w:r>
      <w:r>
        <w:rPr>
          <w:rStyle w:val="52"/>
        </w:rPr>
        <w:t>第二章  水热炭中氮的迁移特性研究</w:t>
      </w:r>
      <w:r>
        <w:tab/>
      </w:r>
      <w:r>
        <w:fldChar w:fldCharType="begin"/>
      </w:r>
      <w:r>
        <w:instrText xml:space="preserve"> PAGEREF _Toc166450071 \h </w:instrText>
      </w:r>
      <w:r>
        <w:fldChar w:fldCharType="separate"/>
      </w:r>
      <w:r>
        <w:t>7</w:t>
      </w:r>
      <w:r>
        <w:fldChar w:fldCharType="end"/>
      </w:r>
      <w:r>
        <w:fldChar w:fldCharType="end"/>
      </w:r>
    </w:p>
    <w:p>
      <w:pPr>
        <w:pStyle w:val="144"/>
        <w:tabs>
          <w:tab w:val="right" w:leader="middleDot" w:pos="9231"/>
        </w:tabs>
        <w:spacing w:line="440" w:lineRule="exact"/>
        <w:ind w:left="480"/>
        <w:rPr>
          <w:rFonts w:asciiTheme="minorHAnsi" w:hAnsiTheme="minorHAnsi" w:eastAsiaTheme="minorEastAsia" w:cstheme="minorBidi"/>
          <w:kern w:val="2"/>
          <w:sz w:val="21"/>
          <w:szCs w:val="22"/>
          <w14:ligatures w14:val="standardContextual"/>
        </w:rPr>
      </w:pPr>
      <w:r>
        <w:fldChar w:fldCharType="begin"/>
      </w:r>
      <w:r>
        <w:instrText xml:space="preserve"> HYPERLINK \l "_Toc166450072" </w:instrText>
      </w:r>
      <w:r>
        <w:fldChar w:fldCharType="separate"/>
      </w:r>
      <w:r>
        <w:rPr>
          <w:rStyle w:val="52"/>
        </w:rPr>
        <w:t>2.1  试验材料与方法</w:t>
      </w:r>
      <w:r>
        <w:tab/>
      </w:r>
      <w:r>
        <w:fldChar w:fldCharType="begin"/>
      </w:r>
      <w:r>
        <w:instrText xml:space="preserve"> PAGEREF _Toc166450072 \h </w:instrText>
      </w:r>
      <w:r>
        <w:fldChar w:fldCharType="separate"/>
      </w:r>
      <w:r>
        <w:t>7</w:t>
      </w:r>
      <w:r>
        <w:fldChar w:fldCharType="end"/>
      </w:r>
      <w:r>
        <w:fldChar w:fldCharType="end"/>
      </w:r>
    </w:p>
    <w:p>
      <w:pPr>
        <w:pStyle w:val="145"/>
        <w:tabs>
          <w:tab w:val="right" w:leader="middleDot" w:pos="9231"/>
        </w:tabs>
        <w:spacing w:line="440" w:lineRule="exact"/>
        <w:ind w:left="960"/>
        <w:rPr>
          <w:rFonts w:asciiTheme="minorHAnsi" w:hAnsiTheme="minorHAnsi" w:eastAsiaTheme="minorEastAsia" w:cstheme="minorBidi"/>
          <w:kern w:val="2"/>
          <w:sz w:val="21"/>
          <w:szCs w:val="22"/>
          <w14:ligatures w14:val="standardContextual"/>
        </w:rPr>
      </w:pPr>
      <w:r>
        <w:fldChar w:fldCharType="begin"/>
      </w:r>
      <w:r>
        <w:instrText xml:space="preserve"> HYPERLINK \l "_Toc166450073" </w:instrText>
      </w:r>
      <w:r>
        <w:fldChar w:fldCharType="separate"/>
      </w:r>
      <w:r>
        <w:rPr>
          <w:rStyle w:val="52"/>
        </w:rPr>
        <w:t>2.1.1  试验材料</w:t>
      </w:r>
      <w:r>
        <w:tab/>
      </w:r>
      <w:r>
        <w:fldChar w:fldCharType="begin"/>
      </w:r>
      <w:r>
        <w:instrText xml:space="preserve"> PAGEREF _Toc166450073 \h </w:instrText>
      </w:r>
      <w:r>
        <w:fldChar w:fldCharType="separate"/>
      </w:r>
      <w:r>
        <w:t>7</w:t>
      </w:r>
      <w:r>
        <w:fldChar w:fldCharType="end"/>
      </w:r>
      <w:r>
        <w:fldChar w:fldCharType="end"/>
      </w:r>
    </w:p>
    <w:p>
      <w:pPr>
        <w:pStyle w:val="145"/>
        <w:tabs>
          <w:tab w:val="right" w:leader="middleDot" w:pos="9231"/>
        </w:tabs>
        <w:spacing w:line="440" w:lineRule="exact"/>
        <w:ind w:left="960"/>
        <w:rPr>
          <w:rFonts w:asciiTheme="minorHAnsi" w:hAnsiTheme="minorHAnsi" w:eastAsiaTheme="minorEastAsia" w:cstheme="minorBidi"/>
          <w:kern w:val="2"/>
          <w:sz w:val="21"/>
          <w:szCs w:val="22"/>
          <w14:ligatures w14:val="standardContextual"/>
        </w:rPr>
      </w:pPr>
      <w:r>
        <w:fldChar w:fldCharType="begin"/>
      </w:r>
      <w:r>
        <w:instrText xml:space="preserve"> HYPERLINK \l "_Toc166450074" </w:instrText>
      </w:r>
      <w:r>
        <w:fldChar w:fldCharType="separate"/>
      </w:r>
      <w:r>
        <w:rPr>
          <w:rStyle w:val="52"/>
        </w:rPr>
        <w:t>2.1.2  试验设备</w:t>
      </w:r>
      <w:r>
        <w:tab/>
      </w:r>
      <w:r>
        <w:fldChar w:fldCharType="begin"/>
      </w:r>
      <w:r>
        <w:instrText xml:space="preserve"> PAGEREF _Toc166450074 \h </w:instrText>
      </w:r>
      <w:r>
        <w:fldChar w:fldCharType="separate"/>
      </w:r>
      <w:r>
        <w:t>7</w:t>
      </w:r>
      <w:r>
        <w:fldChar w:fldCharType="end"/>
      </w:r>
      <w:r>
        <w:fldChar w:fldCharType="end"/>
      </w:r>
    </w:p>
    <w:p>
      <w:pPr>
        <w:pStyle w:val="145"/>
        <w:tabs>
          <w:tab w:val="right" w:leader="middleDot" w:pos="9231"/>
        </w:tabs>
        <w:spacing w:line="440" w:lineRule="exact"/>
        <w:ind w:left="960"/>
        <w:rPr>
          <w:rFonts w:asciiTheme="minorHAnsi" w:hAnsiTheme="minorHAnsi" w:eastAsiaTheme="minorEastAsia" w:cstheme="minorBidi"/>
          <w:kern w:val="2"/>
          <w:sz w:val="21"/>
          <w:szCs w:val="22"/>
          <w14:ligatures w14:val="standardContextual"/>
        </w:rPr>
      </w:pPr>
      <w:r>
        <w:fldChar w:fldCharType="begin"/>
      </w:r>
      <w:r>
        <w:instrText xml:space="preserve"> HYPERLINK \l "_Toc166450075" </w:instrText>
      </w:r>
      <w:r>
        <w:fldChar w:fldCharType="separate"/>
      </w:r>
      <w:r>
        <w:rPr>
          <w:rStyle w:val="52"/>
        </w:rPr>
        <w:t>2.1.3  水热液的制备</w:t>
      </w:r>
      <w:r>
        <w:tab/>
      </w:r>
      <w:r>
        <w:fldChar w:fldCharType="begin"/>
      </w:r>
      <w:r>
        <w:instrText xml:space="preserve"> PAGEREF _Toc166450075 \h </w:instrText>
      </w:r>
      <w:r>
        <w:fldChar w:fldCharType="separate"/>
      </w:r>
      <w:r>
        <w:t>8</w:t>
      </w:r>
      <w:r>
        <w:fldChar w:fldCharType="end"/>
      </w:r>
      <w:r>
        <w:fldChar w:fldCharType="end"/>
      </w:r>
    </w:p>
    <w:p>
      <w:pPr>
        <w:pStyle w:val="145"/>
        <w:tabs>
          <w:tab w:val="right" w:leader="middleDot" w:pos="9231"/>
        </w:tabs>
        <w:spacing w:line="440" w:lineRule="exact"/>
        <w:ind w:left="960"/>
        <w:rPr>
          <w:rFonts w:asciiTheme="minorHAnsi" w:hAnsiTheme="minorHAnsi" w:eastAsiaTheme="minorEastAsia" w:cstheme="minorBidi"/>
          <w:kern w:val="2"/>
          <w:sz w:val="21"/>
          <w:szCs w:val="22"/>
          <w14:ligatures w14:val="standardContextual"/>
        </w:rPr>
      </w:pPr>
      <w:r>
        <w:fldChar w:fldCharType="begin"/>
      </w:r>
      <w:r>
        <w:instrText xml:space="preserve"> HYPERLINK \l "_Toc166450076" </w:instrText>
      </w:r>
      <w:r>
        <w:fldChar w:fldCharType="separate"/>
      </w:r>
      <w:r>
        <w:rPr>
          <w:rStyle w:val="52"/>
        </w:rPr>
        <w:t>2.1.4  木糖与水热液的共热反应</w:t>
      </w:r>
      <w:r>
        <w:tab/>
      </w:r>
      <w:r>
        <w:fldChar w:fldCharType="begin"/>
      </w:r>
      <w:r>
        <w:instrText xml:space="preserve"> PAGEREF _Toc166450076 \h </w:instrText>
      </w:r>
      <w:r>
        <w:fldChar w:fldCharType="separate"/>
      </w:r>
      <w:r>
        <w:t>8</w:t>
      </w:r>
      <w:r>
        <w:fldChar w:fldCharType="end"/>
      </w:r>
      <w:r>
        <w:fldChar w:fldCharType="end"/>
      </w:r>
    </w:p>
    <w:p>
      <w:pPr>
        <w:pStyle w:val="144"/>
        <w:tabs>
          <w:tab w:val="right" w:leader="middleDot" w:pos="9231"/>
        </w:tabs>
        <w:spacing w:line="440" w:lineRule="exact"/>
        <w:ind w:left="480"/>
        <w:rPr>
          <w:rFonts w:asciiTheme="minorHAnsi" w:hAnsiTheme="minorHAnsi" w:eastAsiaTheme="minorEastAsia" w:cstheme="minorBidi"/>
          <w:kern w:val="2"/>
          <w:sz w:val="21"/>
          <w:szCs w:val="22"/>
          <w14:ligatures w14:val="standardContextual"/>
        </w:rPr>
      </w:pPr>
      <w:r>
        <w:fldChar w:fldCharType="begin"/>
      </w:r>
      <w:r>
        <w:instrText xml:space="preserve"> HYPERLINK \l "_Toc166450077" </w:instrText>
      </w:r>
      <w:r>
        <w:fldChar w:fldCharType="separate"/>
      </w:r>
      <w:r>
        <w:rPr>
          <w:rStyle w:val="52"/>
        </w:rPr>
        <w:t>2.2  测试与表征</w:t>
      </w:r>
      <w:r>
        <w:tab/>
      </w:r>
      <w:r>
        <w:fldChar w:fldCharType="begin"/>
      </w:r>
      <w:r>
        <w:instrText xml:space="preserve"> PAGEREF _Toc166450077 \h </w:instrText>
      </w:r>
      <w:r>
        <w:fldChar w:fldCharType="separate"/>
      </w:r>
      <w:r>
        <w:t>10</w:t>
      </w:r>
      <w:r>
        <w:fldChar w:fldCharType="end"/>
      </w:r>
      <w:r>
        <w:fldChar w:fldCharType="end"/>
      </w:r>
    </w:p>
    <w:p>
      <w:pPr>
        <w:pStyle w:val="144"/>
        <w:tabs>
          <w:tab w:val="right" w:leader="middleDot" w:pos="9231"/>
        </w:tabs>
        <w:spacing w:line="440" w:lineRule="exact"/>
        <w:ind w:left="480"/>
        <w:rPr>
          <w:rFonts w:asciiTheme="minorHAnsi" w:hAnsiTheme="minorHAnsi" w:eastAsiaTheme="minorEastAsia" w:cstheme="minorBidi"/>
          <w:kern w:val="2"/>
          <w:sz w:val="21"/>
          <w:szCs w:val="22"/>
          <w14:ligatures w14:val="standardContextual"/>
        </w:rPr>
      </w:pPr>
      <w:r>
        <w:fldChar w:fldCharType="begin"/>
      </w:r>
      <w:r>
        <w:instrText xml:space="preserve"> HYPERLINK \l "_Toc166450078" </w:instrText>
      </w:r>
      <w:r>
        <w:fldChar w:fldCharType="separate"/>
      </w:r>
      <w:r>
        <w:rPr>
          <w:rStyle w:val="52"/>
        </w:rPr>
        <w:t>2.3  测试结果分析</w:t>
      </w:r>
      <w:r>
        <w:tab/>
      </w:r>
      <w:r>
        <w:fldChar w:fldCharType="begin"/>
      </w:r>
      <w:r>
        <w:instrText xml:space="preserve"> PAGEREF _Toc166450078 \h </w:instrText>
      </w:r>
      <w:r>
        <w:fldChar w:fldCharType="separate"/>
      </w:r>
      <w:r>
        <w:t>12</w:t>
      </w:r>
      <w:r>
        <w:fldChar w:fldCharType="end"/>
      </w:r>
      <w:r>
        <w:fldChar w:fldCharType="end"/>
      </w:r>
    </w:p>
    <w:p>
      <w:pPr>
        <w:pStyle w:val="145"/>
        <w:tabs>
          <w:tab w:val="right" w:leader="middleDot" w:pos="9231"/>
        </w:tabs>
        <w:spacing w:line="440" w:lineRule="exact"/>
        <w:ind w:left="960"/>
        <w:rPr>
          <w:rFonts w:asciiTheme="minorHAnsi" w:hAnsiTheme="minorHAnsi" w:eastAsiaTheme="minorEastAsia" w:cstheme="minorBidi"/>
          <w:kern w:val="2"/>
          <w:sz w:val="21"/>
          <w:szCs w:val="22"/>
          <w14:ligatures w14:val="standardContextual"/>
        </w:rPr>
      </w:pPr>
      <w:r>
        <w:fldChar w:fldCharType="begin"/>
      </w:r>
      <w:r>
        <w:instrText xml:space="preserve"> HYPERLINK \l "_Toc166450079" </w:instrText>
      </w:r>
      <w:r>
        <w:fldChar w:fldCharType="separate"/>
      </w:r>
      <w:r>
        <w:rPr>
          <w:rStyle w:val="52"/>
        </w:rPr>
        <w:t>2.3.1  木糖与水热液反应固相产物得率</w:t>
      </w:r>
      <w:r>
        <w:tab/>
      </w:r>
      <w:r>
        <w:fldChar w:fldCharType="begin"/>
      </w:r>
      <w:r>
        <w:instrText xml:space="preserve"> PAGEREF _Toc166450079 \h </w:instrText>
      </w:r>
      <w:r>
        <w:fldChar w:fldCharType="separate"/>
      </w:r>
      <w:r>
        <w:t>12</w:t>
      </w:r>
      <w:r>
        <w:fldChar w:fldCharType="end"/>
      </w:r>
      <w:r>
        <w:fldChar w:fldCharType="end"/>
      </w:r>
    </w:p>
    <w:p>
      <w:pPr>
        <w:pStyle w:val="145"/>
        <w:tabs>
          <w:tab w:val="right" w:leader="middleDot" w:pos="9231"/>
        </w:tabs>
        <w:spacing w:line="440" w:lineRule="exact"/>
        <w:ind w:left="960"/>
        <w:rPr>
          <w:rFonts w:asciiTheme="minorHAnsi" w:hAnsiTheme="minorHAnsi" w:eastAsiaTheme="minorEastAsia" w:cstheme="minorBidi"/>
          <w:kern w:val="2"/>
          <w:sz w:val="21"/>
          <w:szCs w:val="22"/>
          <w14:ligatures w14:val="standardContextual"/>
        </w:rPr>
      </w:pPr>
      <w:r>
        <w:fldChar w:fldCharType="begin"/>
      </w:r>
      <w:r>
        <w:instrText xml:space="preserve"> HYPERLINK \l "_Toc166450080" </w:instrText>
      </w:r>
      <w:r>
        <w:fldChar w:fldCharType="separate"/>
      </w:r>
      <w:r>
        <w:rPr>
          <w:rStyle w:val="52"/>
        </w:rPr>
        <w:t>2.3.2  木糖与水热液反应氮在固相产物中的固集特性</w:t>
      </w:r>
      <w:r>
        <w:tab/>
      </w:r>
      <w:r>
        <w:fldChar w:fldCharType="begin"/>
      </w:r>
      <w:r>
        <w:instrText xml:space="preserve"> PAGEREF _Toc166450080 \h </w:instrText>
      </w:r>
      <w:r>
        <w:fldChar w:fldCharType="separate"/>
      </w:r>
      <w:r>
        <w:t>13</w:t>
      </w:r>
      <w:r>
        <w:fldChar w:fldCharType="end"/>
      </w:r>
      <w:r>
        <w:fldChar w:fldCharType="end"/>
      </w:r>
    </w:p>
    <w:p>
      <w:pPr>
        <w:pStyle w:val="143"/>
        <w:tabs>
          <w:tab w:val="right" w:leader="middleDot" w:pos="9231"/>
        </w:tabs>
        <w:spacing w:line="440" w:lineRule="exact"/>
        <w:rPr>
          <w:rFonts w:asciiTheme="minorHAnsi" w:hAnsiTheme="minorHAnsi" w:eastAsiaTheme="minorEastAsia" w:cstheme="minorBidi"/>
          <w:kern w:val="2"/>
          <w:sz w:val="21"/>
          <w:szCs w:val="22"/>
          <w14:ligatures w14:val="standardContextual"/>
        </w:rPr>
      </w:pPr>
      <w:r>
        <w:fldChar w:fldCharType="begin"/>
      </w:r>
      <w:r>
        <w:instrText xml:space="preserve"> HYPERLINK \l "_Toc166450081" </w:instrText>
      </w:r>
      <w:r>
        <w:fldChar w:fldCharType="separate"/>
      </w:r>
      <w:r>
        <w:rPr>
          <w:rStyle w:val="52"/>
        </w:rPr>
        <w:t>第三章  水热炭中氮的官能团转化特性研究</w:t>
      </w:r>
      <w:r>
        <w:tab/>
      </w:r>
      <w:r>
        <w:fldChar w:fldCharType="begin"/>
      </w:r>
      <w:r>
        <w:instrText xml:space="preserve"> PAGEREF _Toc166450081 \h </w:instrText>
      </w:r>
      <w:r>
        <w:fldChar w:fldCharType="separate"/>
      </w:r>
      <w:r>
        <w:t>16</w:t>
      </w:r>
      <w:r>
        <w:fldChar w:fldCharType="end"/>
      </w:r>
      <w:r>
        <w:fldChar w:fldCharType="end"/>
      </w:r>
    </w:p>
    <w:p>
      <w:pPr>
        <w:pStyle w:val="144"/>
        <w:tabs>
          <w:tab w:val="right" w:leader="middleDot" w:pos="9231"/>
        </w:tabs>
        <w:spacing w:line="440" w:lineRule="exact"/>
        <w:ind w:left="480"/>
        <w:rPr>
          <w:rFonts w:asciiTheme="minorHAnsi" w:hAnsiTheme="minorHAnsi" w:eastAsiaTheme="minorEastAsia" w:cstheme="minorBidi"/>
          <w:kern w:val="2"/>
          <w:sz w:val="21"/>
          <w:szCs w:val="22"/>
          <w14:ligatures w14:val="standardContextual"/>
        </w:rPr>
      </w:pPr>
      <w:r>
        <w:fldChar w:fldCharType="begin"/>
      </w:r>
      <w:r>
        <w:instrText xml:space="preserve"> HYPERLINK \l "_Toc166450082" </w:instrText>
      </w:r>
      <w:r>
        <w:fldChar w:fldCharType="separate"/>
      </w:r>
      <w:r>
        <w:rPr>
          <w:rStyle w:val="52"/>
        </w:rPr>
        <w:t>3.1  测试设备与方法</w:t>
      </w:r>
      <w:r>
        <w:tab/>
      </w:r>
      <w:r>
        <w:fldChar w:fldCharType="begin"/>
      </w:r>
      <w:r>
        <w:instrText xml:space="preserve"> PAGEREF _Toc166450082 \h </w:instrText>
      </w:r>
      <w:r>
        <w:fldChar w:fldCharType="separate"/>
      </w:r>
      <w:r>
        <w:t>16</w:t>
      </w:r>
      <w:r>
        <w:fldChar w:fldCharType="end"/>
      </w:r>
      <w:r>
        <w:fldChar w:fldCharType="end"/>
      </w:r>
    </w:p>
    <w:p>
      <w:pPr>
        <w:pStyle w:val="145"/>
        <w:tabs>
          <w:tab w:val="right" w:leader="middleDot" w:pos="9231"/>
        </w:tabs>
        <w:spacing w:line="440" w:lineRule="exact"/>
        <w:ind w:left="960"/>
        <w:rPr>
          <w:rFonts w:asciiTheme="minorHAnsi" w:hAnsiTheme="minorHAnsi" w:eastAsiaTheme="minorEastAsia" w:cstheme="minorBidi"/>
          <w:kern w:val="2"/>
          <w:sz w:val="21"/>
          <w:szCs w:val="22"/>
          <w14:ligatures w14:val="standardContextual"/>
        </w:rPr>
      </w:pPr>
      <w:r>
        <w:fldChar w:fldCharType="begin"/>
      </w:r>
      <w:r>
        <w:instrText xml:space="preserve"> HYPERLINK \l "_Toc166450083" </w:instrText>
      </w:r>
      <w:r>
        <w:fldChar w:fldCharType="separate"/>
      </w:r>
      <w:r>
        <w:rPr>
          <w:rStyle w:val="52"/>
        </w:rPr>
        <w:t>3.1.1  测试设备</w:t>
      </w:r>
      <w:r>
        <w:tab/>
      </w:r>
      <w:r>
        <w:fldChar w:fldCharType="begin"/>
      </w:r>
      <w:r>
        <w:instrText xml:space="preserve"> PAGEREF _Toc166450083 \h </w:instrText>
      </w:r>
      <w:r>
        <w:fldChar w:fldCharType="separate"/>
      </w:r>
      <w:r>
        <w:t>16</w:t>
      </w:r>
      <w:r>
        <w:fldChar w:fldCharType="end"/>
      </w:r>
      <w:r>
        <w:fldChar w:fldCharType="end"/>
      </w:r>
    </w:p>
    <w:p>
      <w:pPr>
        <w:pStyle w:val="145"/>
        <w:tabs>
          <w:tab w:val="right" w:leader="middleDot" w:pos="9231"/>
        </w:tabs>
        <w:spacing w:line="440" w:lineRule="exact"/>
        <w:ind w:left="960"/>
        <w:rPr>
          <w:rFonts w:asciiTheme="minorHAnsi" w:hAnsiTheme="minorHAnsi" w:eastAsiaTheme="minorEastAsia" w:cstheme="minorBidi"/>
          <w:kern w:val="2"/>
          <w:sz w:val="21"/>
          <w:szCs w:val="22"/>
          <w14:ligatures w14:val="standardContextual"/>
        </w:rPr>
      </w:pPr>
      <w:r>
        <w:fldChar w:fldCharType="begin"/>
      </w:r>
      <w:r>
        <w:instrText xml:space="preserve"> HYPERLINK \l "_Toc166450084" </w:instrText>
      </w:r>
      <w:r>
        <w:fldChar w:fldCharType="separate"/>
      </w:r>
      <w:r>
        <w:rPr>
          <w:rStyle w:val="52"/>
          <w:lang w:bidi="ar"/>
        </w:rPr>
        <w:t>3.1.2  测试方法</w:t>
      </w:r>
      <w:r>
        <w:tab/>
      </w:r>
      <w:r>
        <w:fldChar w:fldCharType="begin"/>
      </w:r>
      <w:r>
        <w:instrText xml:space="preserve"> PAGEREF _Toc166450084 \h </w:instrText>
      </w:r>
      <w:r>
        <w:fldChar w:fldCharType="separate"/>
      </w:r>
      <w:r>
        <w:t>16</w:t>
      </w:r>
      <w:r>
        <w:fldChar w:fldCharType="end"/>
      </w:r>
      <w:r>
        <w:fldChar w:fldCharType="end"/>
      </w:r>
    </w:p>
    <w:p>
      <w:pPr>
        <w:pStyle w:val="144"/>
        <w:tabs>
          <w:tab w:val="right" w:leader="middleDot" w:pos="9231"/>
        </w:tabs>
        <w:spacing w:line="440" w:lineRule="exact"/>
        <w:ind w:left="480"/>
        <w:rPr>
          <w:rFonts w:asciiTheme="minorHAnsi" w:hAnsiTheme="minorHAnsi" w:eastAsiaTheme="minorEastAsia" w:cstheme="minorBidi"/>
          <w:kern w:val="2"/>
          <w:sz w:val="21"/>
          <w:szCs w:val="22"/>
          <w14:ligatures w14:val="standardContextual"/>
        </w:rPr>
      </w:pPr>
      <w:r>
        <w:fldChar w:fldCharType="begin"/>
      </w:r>
      <w:r>
        <w:instrText xml:space="preserve"> HYPERLINK \l "_Toc166450085" </w:instrText>
      </w:r>
      <w:r>
        <w:fldChar w:fldCharType="separate"/>
      </w:r>
      <w:r>
        <w:rPr>
          <w:rStyle w:val="52"/>
        </w:rPr>
        <w:t>3.2  木糖与水热液反应固相产物氮官能团结构转化特性</w:t>
      </w:r>
      <w:r>
        <w:tab/>
      </w:r>
      <w:r>
        <w:fldChar w:fldCharType="begin"/>
      </w:r>
      <w:r>
        <w:instrText xml:space="preserve"> PAGEREF _Toc166450085 \h </w:instrText>
      </w:r>
      <w:r>
        <w:fldChar w:fldCharType="separate"/>
      </w:r>
      <w:r>
        <w:t>17</w:t>
      </w:r>
      <w:r>
        <w:fldChar w:fldCharType="end"/>
      </w:r>
      <w:r>
        <w:fldChar w:fldCharType="end"/>
      </w:r>
    </w:p>
    <w:p>
      <w:pPr>
        <w:pStyle w:val="143"/>
        <w:tabs>
          <w:tab w:val="right" w:leader="middleDot" w:pos="9231"/>
        </w:tabs>
        <w:spacing w:line="440" w:lineRule="exact"/>
        <w:rPr>
          <w:rFonts w:asciiTheme="minorHAnsi" w:hAnsiTheme="minorHAnsi" w:eastAsiaTheme="minorEastAsia" w:cstheme="minorBidi"/>
          <w:kern w:val="2"/>
          <w:sz w:val="21"/>
          <w:szCs w:val="22"/>
          <w14:ligatures w14:val="standardContextual"/>
        </w:rPr>
      </w:pPr>
      <w:r>
        <w:fldChar w:fldCharType="begin"/>
      </w:r>
      <w:r>
        <w:instrText xml:space="preserve"> HYPERLINK \l "_Toc166450086" </w:instrText>
      </w:r>
      <w:r>
        <w:fldChar w:fldCharType="separate"/>
      </w:r>
      <w:r>
        <w:rPr>
          <w:rStyle w:val="52"/>
        </w:rPr>
        <w:t>第四章  水热液中氮的迁移特性研究</w:t>
      </w:r>
      <w:r>
        <w:tab/>
      </w:r>
      <w:r>
        <w:fldChar w:fldCharType="begin"/>
      </w:r>
      <w:r>
        <w:instrText xml:space="preserve"> PAGEREF _Toc166450086 \h </w:instrText>
      </w:r>
      <w:r>
        <w:fldChar w:fldCharType="separate"/>
      </w:r>
      <w:r>
        <w:t>20</w:t>
      </w:r>
      <w:r>
        <w:fldChar w:fldCharType="end"/>
      </w:r>
      <w:r>
        <w:fldChar w:fldCharType="end"/>
      </w:r>
    </w:p>
    <w:p>
      <w:pPr>
        <w:pStyle w:val="144"/>
        <w:tabs>
          <w:tab w:val="right" w:leader="middleDot" w:pos="9231"/>
        </w:tabs>
        <w:spacing w:line="440" w:lineRule="exact"/>
        <w:ind w:left="480"/>
        <w:rPr>
          <w:rFonts w:asciiTheme="minorHAnsi" w:hAnsiTheme="minorHAnsi" w:eastAsiaTheme="minorEastAsia" w:cstheme="minorBidi"/>
          <w:kern w:val="2"/>
          <w:sz w:val="21"/>
          <w:szCs w:val="22"/>
          <w14:ligatures w14:val="standardContextual"/>
        </w:rPr>
      </w:pPr>
      <w:r>
        <w:fldChar w:fldCharType="begin"/>
      </w:r>
      <w:r>
        <w:instrText xml:space="preserve"> HYPERLINK \l "_Toc166450087" </w:instrText>
      </w:r>
      <w:r>
        <w:fldChar w:fldCharType="separate"/>
      </w:r>
      <w:r>
        <w:rPr>
          <w:rStyle w:val="52"/>
        </w:rPr>
        <w:t>4.1 测试设备与方法</w:t>
      </w:r>
      <w:r>
        <w:tab/>
      </w:r>
      <w:r>
        <w:fldChar w:fldCharType="begin"/>
      </w:r>
      <w:r>
        <w:instrText xml:space="preserve"> PAGEREF _Toc166450087 \h </w:instrText>
      </w:r>
      <w:r>
        <w:fldChar w:fldCharType="separate"/>
      </w:r>
      <w:r>
        <w:t>20</w:t>
      </w:r>
      <w:r>
        <w:fldChar w:fldCharType="end"/>
      </w:r>
      <w:r>
        <w:fldChar w:fldCharType="end"/>
      </w:r>
    </w:p>
    <w:p>
      <w:pPr>
        <w:pStyle w:val="145"/>
        <w:tabs>
          <w:tab w:val="right" w:leader="middleDot" w:pos="9231"/>
        </w:tabs>
        <w:spacing w:line="440" w:lineRule="exact"/>
        <w:ind w:left="960"/>
        <w:rPr>
          <w:rFonts w:asciiTheme="minorHAnsi" w:hAnsiTheme="minorHAnsi" w:eastAsiaTheme="minorEastAsia" w:cstheme="minorBidi"/>
          <w:kern w:val="2"/>
          <w:sz w:val="21"/>
          <w:szCs w:val="22"/>
          <w14:ligatures w14:val="standardContextual"/>
        </w:rPr>
      </w:pPr>
      <w:r>
        <w:fldChar w:fldCharType="begin"/>
      </w:r>
      <w:r>
        <w:instrText xml:space="preserve"> HYPERLINK \l "_Toc166450088" </w:instrText>
      </w:r>
      <w:r>
        <w:fldChar w:fldCharType="separate"/>
      </w:r>
      <w:r>
        <w:rPr>
          <w:rStyle w:val="52"/>
        </w:rPr>
        <w:t>4.1.1  测试设备</w:t>
      </w:r>
      <w:r>
        <w:tab/>
      </w:r>
      <w:r>
        <w:fldChar w:fldCharType="begin"/>
      </w:r>
      <w:r>
        <w:instrText xml:space="preserve"> PAGEREF _Toc166450088 \h </w:instrText>
      </w:r>
      <w:r>
        <w:fldChar w:fldCharType="separate"/>
      </w:r>
      <w:r>
        <w:t>20</w:t>
      </w:r>
      <w:r>
        <w:fldChar w:fldCharType="end"/>
      </w:r>
      <w:r>
        <w:fldChar w:fldCharType="end"/>
      </w:r>
    </w:p>
    <w:p>
      <w:pPr>
        <w:pStyle w:val="145"/>
        <w:tabs>
          <w:tab w:val="right" w:leader="middleDot" w:pos="9231"/>
        </w:tabs>
        <w:spacing w:line="440" w:lineRule="exact"/>
        <w:ind w:left="960"/>
        <w:rPr>
          <w:rFonts w:asciiTheme="minorHAnsi" w:hAnsiTheme="minorHAnsi" w:eastAsiaTheme="minorEastAsia" w:cstheme="minorBidi"/>
          <w:kern w:val="2"/>
          <w:sz w:val="21"/>
          <w:szCs w:val="22"/>
          <w14:ligatures w14:val="standardContextual"/>
        </w:rPr>
      </w:pPr>
      <w:r>
        <w:fldChar w:fldCharType="begin"/>
      </w:r>
      <w:r>
        <w:instrText xml:space="preserve"> HYPERLINK \l "_Toc166450089" </w:instrText>
      </w:r>
      <w:r>
        <w:fldChar w:fldCharType="separate"/>
      </w:r>
      <w:r>
        <w:rPr>
          <w:rStyle w:val="52"/>
          <w:lang w:bidi="ar"/>
        </w:rPr>
        <w:t>4.1.2  测试方法</w:t>
      </w:r>
      <w:r>
        <w:tab/>
      </w:r>
      <w:r>
        <w:fldChar w:fldCharType="begin"/>
      </w:r>
      <w:r>
        <w:instrText xml:space="preserve"> PAGEREF _Toc166450089 \h </w:instrText>
      </w:r>
      <w:r>
        <w:fldChar w:fldCharType="separate"/>
      </w:r>
      <w:r>
        <w:t>20</w:t>
      </w:r>
      <w:r>
        <w:fldChar w:fldCharType="end"/>
      </w:r>
      <w:r>
        <w:fldChar w:fldCharType="end"/>
      </w:r>
    </w:p>
    <w:p>
      <w:pPr>
        <w:pStyle w:val="144"/>
        <w:tabs>
          <w:tab w:val="right" w:leader="middleDot" w:pos="9231"/>
        </w:tabs>
        <w:spacing w:line="440" w:lineRule="exact"/>
        <w:ind w:left="480"/>
        <w:rPr>
          <w:rFonts w:asciiTheme="minorHAnsi" w:hAnsiTheme="minorHAnsi" w:eastAsiaTheme="minorEastAsia" w:cstheme="minorBidi"/>
          <w:kern w:val="2"/>
          <w:sz w:val="21"/>
          <w:szCs w:val="22"/>
          <w14:ligatures w14:val="standardContextual"/>
        </w:rPr>
      </w:pPr>
      <w:r>
        <w:fldChar w:fldCharType="begin"/>
      </w:r>
      <w:r>
        <w:instrText xml:space="preserve"> HYPERLINK \l "_Toc166450090" </w:instrText>
      </w:r>
      <w:r>
        <w:fldChar w:fldCharType="separate"/>
      </w:r>
      <w:r>
        <w:rPr>
          <w:rStyle w:val="52"/>
        </w:rPr>
        <w:t>4.2  木糖与水热液反应氮在液相产物中的转化特性</w:t>
      </w:r>
      <w:r>
        <w:tab/>
      </w:r>
      <w:r>
        <w:fldChar w:fldCharType="begin"/>
      </w:r>
      <w:r>
        <w:instrText xml:space="preserve"> PAGEREF _Toc166450090 \h </w:instrText>
      </w:r>
      <w:r>
        <w:fldChar w:fldCharType="separate"/>
      </w:r>
      <w:r>
        <w:t>22</w:t>
      </w:r>
      <w:r>
        <w:fldChar w:fldCharType="end"/>
      </w:r>
      <w:r>
        <w:fldChar w:fldCharType="end"/>
      </w:r>
    </w:p>
    <w:p>
      <w:pPr>
        <w:pStyle w:val="143"/>
        <w:tabs>
          <w:tab w:val="right" w:leader="middleDot" w:pos="9231"/>
        </w:tabs>
        <w:spacing w:line="440" w:lineRule="exact"/>
        <w:rPr>
          <w:rFonts w:asciiTheme="minorHAnsi" w:hAnsiTheme="minorHAnsi" w:eastAsiaTheme="minorEastAsia" w:cstheme="minorBidi"/>
          <w:kern w:val="2"/>
          <w:sz w:val="21"/>
          <w:szCs w:val="22"/>
          <w14:ligatures w14:val="standardContextual"/>
        </w:rPr>
      </w:pPr>
      <w:r>
        <w:fldChar w:fldCharType="begin"/>
      </w:r>
      <w:r>
        <w:instrText xml:space="preserve"> HYPERLINK \l "_Toc166450091" </w:instrText>
      </w:r>
      <w:r>
        <w:fldChar w:fldCharType="separate"/>
      </w:r>
      <w:r>
        <w:rPr>
          <w:rStyle w:val="52"/>
        </w:rPr>
        <w:t>第五章  结论与展望</w:t>
      </w:r>
      <w:r>
        <w:tab/>
      </w:r>
      <w:r>
        <w:fldChar w:fldCharType="begin"/>
      </w:r>
      <w:r>
        <w:instrText xml:space="preserve"> PAGEREF _Toc166450091 \h </w:instrText>
      </w:r>
      <w:r>
        <w:fldChar w:fldCharType="separate"/>
      </w:r>
      <w:r>
        <w:t>23</w:t>
      </w:r>
      <w:r>
        <w:fldChar w:fldCharType="end"/>
      </w:r>
      <w:r>
        <w:fldChar w:fldCharType="end"/>
      </w:r>
    </w:p>
    <w:p>
      <w:pPr>
        <w:pStyle w:val="143"/>
        <w:tabs>
          <w:tab w:val="right" w:leader="middleDot" w:pos="9231"/>
        </w:tabs>
        <w:spacing w:line="440" w:lineRule="exact"/>
        <w:rPr>
          <w:rFonts w:asciiTheme="minorHAnsi" w:hAnsiTheme="minorHAnsi" w:eastAsiaTheme="minorEastAsia" w:cstheme="minorBidi"/>
          <w:kern w:val="2"/>
          <w:sz w:val="21"/>
          <w:szCs w:val="22"/>
          <w14:ligatures w14:val="standardContextual"/>
        </w:rPr>
      </w:pPr>
      <w:r>
        <w:fldChar w:fldCharType="begin"/>
      </w:r>
      <w:r>
        <w:instrText xml:space="preserve"> HYPERLINK \l "_Toc166450092" </w:instrText>
      </w:r>
      <w:r>
        <w:fldChar w:fldCharType="separate"/>
      </w:r>
      <w:r>
        <w:rPr>
          <w:rStyle w:val="52"/>
        </w:rPr>
        <w:t>参考文献</w:t>
      </w:r>
      <w:r>
        <w:tab/>
      </w:r>
      <w:r>
        <w:fldChar w:fldCharType="begin"/>
      </w:r>
      <w:r>
        <w:instrText xml:space="preserve"> PAGEREF _Toc166450092 \h </w:instrText>
      </w:r>
      <w:r>
        <w:fldChar w:fldCharType="separate"/>
      </w:r>
      <w:r>
        <w:t>24</w:t>
      </w:r>
      <w:r>
        <w:fldChar w:fldCharType="end"/>
      </w:r>
      <w:r>
        <w:fldChar w:fldCharType="end"/>
      </w:r>
    </w:p>
    <w:p>
      <w:pPr>
        <w:spacing w:line="440" w:lineRule="exact"/>
        <w:rPr>
          <w:rFonts w:eastAsia="黑体"/>
          <w:bCs/>
          <w:sz w:val="36"/>
          <w:szCs w:val="32"/>
        </w:rPr>
        <w:sectPr>
          <w:footerReference r:id="rId4" w:type="default"/>
          <w:pgSz w:w="11906" w:h="16838"/>
          <w:pgMar w:top="1304" w:right="1304" w:bottom="1134" w:left="1361" w:header="851" w:footer="851" w:gutter="0"/>
          <w:pgNumType w:fmt="lowerRoman" w:start="1"/>
          <w:cols w:space="720" w:num="1"/>
          <w:docGrid w:linePitch="360" w:charSpace="0"/>
        </w:sectPr>
      </w:pPr>
      <w:r>
        <w:fldChar w:fldCharType="end"/>
      </w:r>
    </w:p>
    <w:p>
      <w:pPr>
        <w:pStyle w:val="2"/>
      </w:pPr>
      <w:bookmarkStart w:id="0" w:name="_Toc166450064"/>
      <w:bookmarkStart w:id="1" w:name="_Toc166234339"/>
      <w:r>
        <w:rPr>
          <w:rFonts w:hint="eastAsia"/>
        </w:rPr>
        <w:t>第一章  前言</w:t>
      </w:r>
      <w:bookmarkEnd w:id="0"/>
      <w:bookmarkEnd w:id="1"/>
    </w:p>
    <w:p>
      <w:pPr>
        <w:pStyle w:val="3"/>
      </w:pPr>
      <w:bookmarkStart w:id="2" w:name="_Toc166234340"/>
      <w:bookmarkStart w:id="3" w:name="_Toc166450065"/>
      <w:r>
        <w:rPr>
          <w:rFonts w:hint="eastAsia"/>
        </w:rPr>
        <w:t xml:space="preserve">1.1  </w:t>
      </w:r>
      <w:r>
        <w:t>引言</w:t>
      </w:r>
      <w:bookmarkEnd w:id="2"/>
      <w:bookmarkEnd w:id="3"/>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pPr>
      <w:r>
        <w:t>生物质能源作为</w:t>
      </w:r>
      <w:r>
        <w:rPr>
          <w:szCs w:val="24"/>
        </w:rPr>
        <w:t>第四大能源正在被广泛应用</w:t>
      </w:r>
      <w:r>
        <w:rPr>
          <w:szCs w:val="24"/>
          <w:vertAlign w:val="superscript"/>
        </w:rPr>
        <w:fldChar w:fldCharType="begin"/>
      </w:r>
      <w:r>
        <w:rPr>
          <w:szCs w:val="24"/>
          <w:vertAlign w:val="superscript"/>
        </w:rPr>
        <w:instrText xml:space="preserve"> REF _Ref1044203853 \r \h </w:instrText>
      </w:r>
      <w:r>
        <w:rPr>
          <w:szCs w:val="24"/>
          <w:vertAlign w:val="superscript"/>
        </w:rPr>
        <w:fldChar w:fldCharType="separate"/>
      </w:r>
      <w:r>
        <w:rPr>
          <w:szCs w:val="24"/>
          <w:vertAlign w:val="superscript"/>
        </w:rPr>
        <w:t>[1]</w:t>
      </w:r>
      <w:r>
        <w:rPr>
          <w:szCs w:val="24"/>
          <w:vertAlign w:val="superscript"/>
        </w:rPr>
        <w:fldChar w:fldCharType="end"/>
      </w:r>
      <w:r>
        <w:t>。</w:t>
      </w:r>
      <w:r>
        <w:rPr>
          <w:rFonts w:hint="default"/>
        </w:rPr>
        <w:t>自从人类掌握火源后，</w:t>
      </w:r>
      <w:r>
        <w:rPr>
          <w:rFonts w:hint="eastAsia"/>
          <w:lang w:eastAsia="zh-CN"/>
        </w:rPr>
        <w:t>生物质能源便</w:t>
      </w:r>
      <w:r>
        <w:rPr>
          <w:rFonts w:hint="default"/>
        </w:rPr>
        <w:t>成为</w:t>
      </w:r>
      <w:r>
        <w:rPr>
          <w:rFonts w:hint="eastAsia"/>
          <w:lang w:eastAsia="zh-CN"/>
        </w:rPr>
        <w:t>了</w:t>
      </w:r>
      <w:r>
        <w:rPr>
          <w:rFonts w:hint="default"/>
        </w:rPr>
        <w:t>最早被直接利用的能源来源之一。在人类文明的演变过程中，</w:t>
      </w:r>
      <w:r>
        <w:rPr>
          <w:rFonts w:hint="eastAsia"/>
          <w:lang w:eastAsia="zh-CN"/>
        </w:rPr>
        <w:t>生物质能源</w:t>
      </w:r>
      <w:r>
        <w:rPr>
          <w:rFonts w:hint="default"/>
        </w:rPr>
        <w:t>经历了多次研究</w:t>
      </w:r>
      <w:r>
        <w:rPr>
          <w:rFonts w:hint="eastAsia"/>
          <w:lang w:eastAsia="zh-CN"/>
        </w:rPr>
        <w:t>与</w:t>
      </w:r>
      <w:r>
        <w:rPr>
          <w:rFonts w:hint="default"/>
        </w:rPr>
        <w:t>开发浪潮</w:t>
      </w:r>
      <w:r>
        <w:rPr>
          <w:rFonts w:hint="eastAsia"/>
          <w:lang w:eastAsia="zh-CN"/>
        </w:rPr>
        <w:t>。</w:t>
      </w:r>
      <w:r>
        <w:rPr>
          <w:rFonts w:hint="default"/>
        </w:rPr>
        <w:t>在第二次世界大战前后，</w:t>
      </w:r>
      <w:r>
        <w:rPr>
          <w:rFonts w:hint="eastAsia"/>
          <w:lang w:eastAsia="zh-CN"/>
        </w:rPr>
        <w:t>人类</w:t>
      </w:r>
      <w:r>
        <w:rPr>
          <w:rFonts w:hint="default"/>
        </w:rPr>
        <w:t>对木质能源的研究达到了顶峰。然而，随着石油化工和煤化工的出现，生物能源的重要性暂时下降。直到20世纪70年代，由于中东地区事件引发的全球能源危机，人们对包括木质能源在内</w:t>
      </w:r>
      <w:r>
        <w:rPr>
          <w:rFonts w:hint="eastAsia"/>
          <w:lang w:eastAsia="zh-CN"/>
        </w:rPr>
        <w:t>的</w:t>
      </w:r>
      <w:r>
        <w:rPr>
          <w:rFonts w:hint="default"/>
        </w:rPr>
        <w:t>可再生能源的研究兴趣增加。人们</w:t>
      </w:r>
      <w:r>
        <w:rPr>
          <w:rFonts w:hint="eastAsia"/>
          <w:lang w:eastAsia="zh-CN"/>
        </w:rPr>
        <w:t>也</w:t>
      </w:r>
      <w:r>
        <w:rPr>
          <w:rFonts w:hint="default"/>
        </w:rPr>
        <w:t>开始意识到石油、煤炭和天然气等化石能源的有限性和环境污染问题。研究表明</w:t>
      </w:r>
      <w:r>
        <w:rPr>
          <w:vertAlign w:val="superscript"/>
        </w:rPr>
        <w:fldChar w:fldCharType="begin"/>
      </w:r>
      <w:r>
        <w:rPr>
          <w:vertAlign w:val="superscript"/>
        </w:rPr>
        <w:instrText xml:space="preserve"> REF _Ref336088115 \r \h </w:instrText>
      </w:r>
      <w:r>
        <w:rPr>
          <w:vertAlign w:val="superscript"/>
        </w:rPr>
        <w:fldChar w:fldCharType="separate"/>
      </w:r>
      <w:r>
        <w:rPr>
          <w:vertAlign w:val="superscript"/>
        </w:rPr>
        <w:t>[2]</w:t>
      </w:r>
      <w:r>
        <w:rPr>
          <w:vertAlign w:val="superscript"/>
        </w:rPr>
        <w:fldChar w:fldCharType="end"/>
      </w:r>
      <w:r>
        <w:t>，</w:t>
      </w:r>
      <w:r>
        <w:rPr>
          <w:rFonts w:hint="default"/>
        </w:rPr>
        <w:t>根据现有的石油和天然气储备以及需求，到21世纪中叶，世界石油和天然气储量可能会枯竭，而大规模使用煤炭不仅受资源限制，还会导致大量有害气体排放，</w:t>
      </w:r>
      <w:r>
        <w:rPr>
          <w:rFonts w:hint="eastAsia"/>
          <w:lang w:eastAsia="zh-CN"/>
        </w:rPr>
        <w:t>如</w:t>
      </w:r>
      <w:r>
        <w:rPr>
          <w:rFonts w:hint="default"/>
        </w:rPr>
        <w:t>SO</w:t>
      </w:r>
      <w:r>
        <w:rPr>
          <w:rFonts w:hint="default"/>
          <w:vertAlign w:val="subscript"/>
        </w:rPr>
        <w:t>2</w:t>
      </w:r>
      <w:r>
        <w:rPr>
          <w:rFonts w:hint="default"/>
        </w:rPr>
        <w:t>、NO</w:t>
      </w:r>
      <w:r>
        <w:rPr>
          <w:rFonts w:hint="default"/>
          <w:vertAlign w:val="subscript"/>
        </w:rPr>
        <w:t>x</w:t>
      </w:r>
      <w:r>
        <w:rPr>
          <w:rFonts w:hint="default"/>
        </w:rPr>
        <w:t>等，从而严重污染环境。</w:t>
      </w:r>
    </w:p>
    <w:p>
      <w:pPr>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pPr>
      <w:r>
        <w:rPr>
          <w:rFonts w:hint="default"/>
        </w:rPr>
        <w:t>环境与能源问题已成为全球关注的焦点。据研究表明，使用化石燃料是引起大气污染的主要原因之一，引发的“酸雨”和“温室效应”对地球环境造成了灾难性影响。与此相比，生物质能源的使用几乎不产生污染物。在使用生物质能源时，几乎不会释放SO</w:t>
      </w:r>
      <w:r>
        <w:rPr>
          <w:rFonts w:hint="default"/>
          <w:vertAlign w:val="subscript"/>
        </w:rPr>
        <w:t>2</w:t>
      </w:r>
      <w:r>
        <w:rPr>
          <w:rFonts w:hint="default"/>
        </w:rPr>
        <w:t>，同时其产生的CO</w:t>
      </w:r>
      <w:r>
        <w:rPr>
          <w:rFonts w:hint="default"/>
          <w:vertAlign w:val="subscript"/>
        </w:rPr>
        <w:t>2</w:t>
      </w:r>
      <w:r>
        <w:rPr>
          <w:rFonts w:hint="default"/>
        </w:rPr>
        <w:t>的排放量和植物吸收量保持平衡，因此生物质被认为是</w:t>
      </w:r>
      <w:r>
        <w:rPr>
          <w:rFonts w:hint="eastAsia"/>
          <w:lang w:eastAsia="zh-CN"/>
        </w:rPr>
        <w:t>一种</w:t>
      </w:r>
      <w:r>
        <w:rPr>
          <w:rFonts w:hint="default"/>
        </w:rPr>
        <w:t>CO</w:t>
      </w:r>
      <w:r>
        <w:rPr>
          <w:rFonts w:hint="default"/>
          <w:vertAlign w:val="subscript"/>
        </w:rPr>
        <w:t>2</w:t>
      </w:r>
      <w:r>
        <w:rPr>
          <w:rFonts w:hint="default"/>
        </w:rPr>
        <w:t>中性的燃料。此外，生物质作为能源来源广泛分布，不易枯竭，对于保护和改善生态环境具有重要意义，使其成为理想的可再生能源之一</w:t>
      </w:r>
      <w:r>
        <w:rPr>
          <w:vertAlign w:val="superscript"/>
        </w:rPr>
        <w:fldChar w:fldCharType="begin"/>
      </w:r>
      <w:r>
        <w:rPr>
          <w:vertAlign w:val="superscript"/>
        </w:rPr>
        <w:instrText xml:space="preserve"> REF _Ref1488793354 \r \h </w:instrText>
      </w:r>
      <w:r>
        <w:rPr>
          <w:vertAlign w:val="superscript"/>
        </w:rPr>
        <w:fldChar w:fldCharType="separate"/>
      </w:r>
      <w:r>
        <w:rPr>
          <w:vertAlign w:val="superscript"/>
        </w:rPr>
        <w:t>[3]</w:t>
      </w:r>
      <w:r>
        <w:rPr>
          <w:vertAlign w:val="superscript"/>
        </w:rPr>
        <w:fldChar w:fldCharType="end"/>
      </w:r>
      <w:r>
        <w:t>。</w:t>
      </w:r>
    </w:p>
    <w:p>
      <w:pPr>
        <w:pStyle w:val="6"/>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cs="宋体"/>
          <w:lang w:bidi="ar"/>
        </w:rPr>
      </w:pPr>
      <w:r>
        <w:rPr>
          <w:rFonts w:cs="宋体"/>
          <w:lang w:bidi="ar"/>
        </w:rPr>
        <w:t>生物质资源</w:t>
      </w:r>
      <w:r>
        <w:rPr>
          <w:rFonts w:hint="eastAsia" w:cs="宋体"/>
          <w:lang w:bidi="ar"/>
        </w:rPr>
        <w:t>大致可分为</w:t>
      </w:r>
      <w:r>
        <w:rPr>
          <w:rFonts w:cs="宋体"/>
          <w:lang w:bidi="ar"/>
        </w:rPr>
        <w:t>四类</w:t>
      </w:r>
      <w:r>
        <w:rPr>
          <w:rFonts w:hint="eastAsia" w:cs="宋体"/>
          <w:lang w:bidi="ar"/>
        </w:rPr>
        <w:t>，其中</w:t>
      </w:r>
      <w:r>
        <w:rPr>
          <w:rFonts w:cs="宋体"/>
          <w:lang w:bidi="ar"/>
        </w:rPr>
        <w:t>包括农业废弃物、林业废弃物、城市生物质废弃物</w:t>
      </w:r>
      <w:r>
        <w:rPr>
          <w:rFonts w:hint="eastAsia" w:cs="宋体"/>
          <w:lang w:eastAsia="zh-CN" w:bidi="ar"/>
        </w:rPr>
        <w:t>以及</w:t>
      </w:r>
      <w:r>
        <w:rPr>
          <w:rFonts w:cs="宋体"/>
          <w:lang w:bidi="ar"/>
        </w:rPr>
        <w:t>污水</w:t>
      </w:r>
      <w:r>
        <w:rPr>
          <w:rFonts w:hint="eastAsia" w:cs="宋体"/>
          <w:lang w:eastAsia="zh-CN" w:bidi="ar"/>
        </w:rPr>
        <w:t>和</w:t>
      </w:r>
      <w:r>
        <w:rPr>
          <w:rFonts w:cs="宋体"/>
          <w:lang w:bidi="ar"/>
        </w:rPr>
        <w:t>污泥</w:t>
      </w:r>
      <w:r>
        <w:rPr>
          <w:vertAlign w:val="superscript"/>
          <w:lang w:bidi="ar"/>
        </w:rPr>
        <w:fldChar w:fldCharType="begin"/>
      </w:r>
      <w:r>
        <w:rPr>
          <w:vertAlign w:val="superscript"/>
          <w:lang w:bidi="ar"/>
        </w:rPr>
        <w:instrText xml:space="preserve"> REF _Ref1877498625 \r \h </w:instrText>
      </w:r>
      <w:r>
        <w:rPr>
          <w:vertAlign w:val="superscript"/>
          <w:lang w:bidi="ar"/>
        </w:rPr>
        <w:fldChar w:fldCharType="separate"/>
      </w:r>
      <w:r>
        <w:rPr>
          <w:vertAlign w:val="superscript"/>
          <w:lang w:bidi="ar"/>
        </w:rPr>
        <w:t>[4]</w:t>
      </w:r>
      <w:r>
        <w:rPr>
          <w:vertAlign w:val="superscript"/>
          <w:lang w:bidi="ar"/>
        </w:rPr>
        <w:fldChar w:fldCharType="end"/>
      </w:r>
      <w:r>
        <w:rPr>
          <w:rFonts w:cs="宋体"/>
          <w:lang w:bidi="ar"/>
        </w:rPr>
        <w:t>。农业废弃物主要包括农作物、农业加工副产品以及禽畜粪便等。</w:t>
      </w:r>
      <w:r>
        <w:rPr>
          <w:rFonts w:hint="default" w:cs="宋体"/>
          <w:lang w:bidi="ar"/>
        </w:rPr>
        <w:t>城市生物质废弃物主要由食品废弃物组成</w:t>
      </w:r>
      <w:r>
        <w:rPr>
          <w:rFonts w:cs="宋体"/>
          <w:vertAlign w:val="superscript"/>
          <w:lang w:bidi="ar"/>
        </w:rPr>
        <w:fldChar w:fldCharType="begin"/>
      </w:r>
      <w:r>
        <w:rPr>
          <w:rFonts w:cs="宋体"/>
          <w:vertAlign w:val="superscript"/>
          <w:lang w:bidi="ar"/>
        </w:rPr>
        <w:instrText xml:space="preserve"> REF _Ref1351284378 \r \h </w:instrText>
      </w:r>
      <w:r>
        <w:rPr>
          <w:rFonts w:cs="宋体"/>
          <w:vertAlign w:val="superscript"/>
          <w:lang w:bidi="ar"/>
        </w:rPr>
        <w:fldChar w:fldCharType="separate"/>
      </w:r>
      <w:r>
        <w:rPr>
          <w:rFonts w:cs="宋体"/>
          <w:vertAlign w:val="superscript"/>
          <w:lang w:bidi="ar"/>
        </w:rPr>
        <w:t>[5]</w:t>
      </w:r>
      <w:r>
        <w:rPr>
          <w:rFonts w:cs="宋体"/>
          <w:vertAlign w:val="superscript"/>
          <w:lang w:bidi="ar"/>
        </w:rPr>
        <w:fldChar w:fldCharType="end"/>
      </w:r>
      <w:r>
        <w:rPr>
          <w:rFonts w:cs="宋体"/>
          <w:lang w:bidi="ar"/>
        </w:rPr>
        <w:t>。</w:t>
      </w:r>
      <w:r>
        <w:rPr>
          <w:rFonts w:hint="default" w:cs="宋体"/>
          <w:lang w:bidi="ar"/>
        </w:rPr>
        <w:t>农作物和森林废弃物是主要的木质生物质，不同原始材料中氮的含量差异很大，主要在0.3%到5.0%之间。通常豆类植物中的氮含量高于谷物，而谷物中的氮含量高于木本植物</w:t>
      </w:r>
      <w:r>
        <w:rPr>
          <w:rFonts w:cs="宋体"/>
          <w:vertAlign w:val="superscript"/>
          <w:lang w:bidi="ar"/>
        </w:rPr>
        <w:fldChar w:fldCharType="begin"/>
      </w:r>
      <w:r>
        <w:rPr>
          <w:rFonts w:cs="宋体"/>
          <w:vertAlign w:val="superscript"/>
          <w:lang w:bidi="ar"/>
        </w:rPr>
        <w:instrText xml:space="preserve"> REF _Ref1058004243 \r \h </w:instrText>
      </w:r>
      <w:r>
        <w:rPr>
          <w:rFonts w:cs="宋体"/>
          <w:vertAlign w:val="superscript"/>
          <w:lang w:bidi="ar"/>
        </w:rPr>
        <w:fldChar w:fldCharType="separate"/>
      </w:r>
      <w:r>
        <w:rPr>
          <w:rFonts w:cs="宋体"/>
          <w:vertAlign w:val="superscript"/>
          <w:lang w:bidi="ar"/>
        </w:rPr>
        <w:t>[6]</w:t>
      </w:r>
      <w:r>
        <w:rPr>
          <w:rFonts w:cs="宋体"/>
          <w:vertAlign w:val="superscript"/>
          <w:lang w:bidi="ar"/>
        </w:rPr>
        <w:fldChar w:fldCharType="end"/>
      </w:r>
      <w:r>
        <w:rPr>
          <w:rFonts w:cs="宋体"/>
          <w:lang w:bidi="ar"/>
        </w:rPr>
        <w:t>。</w:t>
      </w:r>
      <w:r>
        <w:rPr>
          <w:rFonts w:hint="default" w:cs="宋体"/>
          <w:lang w:bidi="ar"/>
        </w:rPr>
        <w:t>此外，同一植物的氮含量可能因生长地点或不同部位而异，种子和叶子中的氮含量高于茎和根</w:t>
      </w:r>
      <w:r>
        <w:rPr>
          <w:rFonts w:cs="宋体"/>
          <w:vertAlign w:val="superscript"/>
          <w:lang w:bidi="ar"/>
        </w:rPr>
        <w:fldChar w:fldCharType="begin"/>
      </w:r>
      <w:r>
        <w:rPr>
          <w:rFonts w:cs="宋体"/>
          <w:vertAlign w:val="superscript"/>
          <w:lang w:bidi="ar"/>
        </w:rPr>
        <w:instrText xml:space="preserve"> REF _Ref172493087 \r \h </w:instrText>
      </w:r>
      <w:r>
        <w:rPr>
          <w:rFonts w:cs="宋体"/>
          <w:vertAlign w:val="superscript"/>
          <w:lang w:bidi="ar"/>
        </w:rPr>
        <w:fldChar w:fldCharType="separate"/>
      </w:r>
      <w:r>
        <w:rPr>
          <w:rFonts w:cs="宋体"/>
          <w:vertAlign w:val="superscript"/>
          <w:lang w:bidi="ar"/>
        </w:rPr>
        <w:t>[7]</w:t>
      </w:r>
      <w:r>
        <w:rPr>
          <w:rFonts w:cs="宋体"/>
          <w:vertAlign w:val="superscript"/>
          <w:lang w:bidi="ar"/>
        </w:rPr>
        <w:fldChar w:fldCharType="end"/>
      </w:r>
      <w:r>
        <w:rPr>
          <w:rFonts w:cs="宋体"/>
          <w:lang w:bidi="ar"/>
        </w:rPr>
        <w:t>。</w:t>
      </w:r>
      <w:r>
        <w:rPr>
          <w:rFonts w:hint="default" w:cs="宋体"/>
          <w:lang w:bidi="ar"/>
        </w:rPr>
        <w:t>食品废弃物中的氮含量约为3.9%，污水处理设施中废水废弃物的氮含量在7.23%到10.58%之间，动物粪便中的氮含量在2.15%到4.28%之间</w:t>
      </w:r>
      <w:r>
        <w:rPr>
          <w:rFonts w:cs="宋体"/>
          <w:vertAlign w:val="superscript"/>
          <w:lang w:bidi="ar"/>
        </w:rPr>
        <w:fldChar w:fldCharType="begin"/>
      </w:r>
      <w:r>
        <w:rPr>
          <w:rFonts w:cs="宋体"/>
          <w:vertAlign w:val="superscript"/>
          <w:lang w:bidi="ar"/>
        </w:rPr>
        <w:instrText xml:space="preserve"> REF _Ref340428665 \r \h </w:instrText>
      </w:r>
      <w:r>
        <w:rPr>
          <w:rFonts w:cs="宋体"/>
          <w:vertAlign w:val="superscript"/>
          <w:lang w:bidi="ar"/>
        </w:rPr>
        <w:fldChar w:fldCharType="separate"/>
      </w:r>
      <w:r>
        <w:rPr>
          <w:rFonts w:cs="宋体"/>
          <w:vertAlign w:val="superscript"/>
          <w:lang w:bidi="ar"/>
        </w:rPr>
        <w:t>[8]-[10]</w:t>
      </w:r>
      <w:r>
        <w:rPr>
          <w:rFonts w:cs="宋体"/>
          <w:vertAlign w:val="superscript"/>
          <w:lang w:bidi="ar"/>
        </w:rPr>
        <w:fldChar w:fldCharType="end"/>
      </w:r>
      <w:r>
        <w:rPr>
          <w:rFonts w:cs="宋体"/>
          <w:lang w:bidi="ar"/>
        </w:rPr>
        <w:t>。</w:t>
      </w:r>
    </w:p>
    <w:p>
      <w:pPr>
        <w:pStyle w:val="6"/>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rPr>
          <w:rFonts w:hint="eastAsia" w:eastAsia="宋体" w:cs="宋体"/>
          <w:lang w:eastAsia="zh-CN" w:bidi="ar"/>
        </w:rPr>
      </w:pPr>
      <w:r>
        <w:rPr>
          <w:rFonts w:hint="eastAsia" w:cs="宋体"/>
          <w:lang w:bidi="ar"/>
        </w:rPr>
        <w:t>目前，</w:t>
      </w:r>
      <w:r>
        <w:rPr>
          <w:rFonts w:hint="default" w:cs="宋体"/>
          <w:lang w:bidi="ar"/>
        </w:rPr>
        <w:t>我国在木材及木制品进口量方面成为领先者，每年消费超过100亿美元，成为继石油和钢铁之后的第三大外汇进口商品</w:t>
      </w:r>
      <w:r>
        <w:rPr>
          <w:vertAlign w:val="superscript"/>
          <w:lang w:bidi="ar"/>
        </w:rPr>
        <w:fldChar w:fldCharType="begin"/>
      </w:r>
      <w:r>
        <w:rPr>
          <w:vertAlign w:val="superscript"/>
          <w:lang w:bidi="ar"/>
        </w:rPr>
        <w:instrText xml:space="preserve"> REF _Ref894806217 \r \h </w:instrText>
      </w:r>
      <w:r>
        <w:rPr>
          <w:vertAlign w:val="superscript"/>
          <w:lang w:bidi="ar"/>
        </w:rPr>
        <w:fldChar w:fldCharType="separate"/>
      </w:r>
      <w:r>
        <w:rPr>
          <w:vertAlign w:val="superscript"/>
          <w:lang w:bidi="ar"/>
        </w:rPr>
        <w:t>[11]</w:t>
      </w:r>
      <w:r>
        <w:rPr>
          <w:vertAlign w:val="superscript"/>
          <w:lang w:bidi="ar"/>
        </w:rPr>
        <w:fldChar w:fldCharType="end"/>
      </w:r>
      <w:r>
        <w:rPr>
          <w:rFonts w:cs="宋体"/>
          <w:lang w:bidi="ar"/>
        </w:rPr>
        <w:t>。</w:t>
      </w:r>
      <w:r>
        <w:rPr>
          <w:rFonts w:hint="eastAsia" w:cs="宋体"/>
          <w:lang w:bidi="ar"/>
        </w:rPr>
        <w:t>其中，</w:t>
      </w:r>
      <w:r>
        <w:rPr>
          <w:rFonts w:cs="宋体"/>
          <w:lang w:bidi="ar"/>
        </w:rPr>
        <w:t>人造板</w:t>
      </w:r>
      <w:r>
        <w:rPr>
          <w:rFonts w:hint="default" w:cs="宋体"/>
          <w:lang w:bidi="ar"/>
        </w:rPr>
        <w:t>通过机械加工木材或非木材纤维植物，获得各种零部件后，通过使用粘合剂或其他添加物，或者不使用粘合剂将其粘合在一起的过程，大大提高了木材的综合利用率。随着我国城市化进程和人口生活水平的提高，对人造木材在建筑和装饰领域的需求也在持续增加。然而，我国木材原料需求快速增长，仅依靠国内林产品产量很难满足人造木材的生产和消费需求。目前，我国的木材利用水平仅约为60%</w:t>
      </w:r>
      <w:r>
        <w:rPr>
          <w:rFonts w:cs="宋体"/>
          <w:lang w:bidi="ar"/>
        </w:rPr>
        <w:t>，每年约有8500万m</w:t>
      </w:r>
      <w:r>
        <w:rPr>
          <w:rFonts w:cs="宋体"/>
          <w:vertAlign w:val="superscript"/>
          <w:lang w:bidi="ar"/>
        </w:rPr>
        <w:t>3</w:t>
      </w:r>
      <w:r>
        <w:rPr>
          <w:rFonts w:cs="宋体"/>
          <w:lang w:bidi="ar"/>
        </w:rPr>
        <w:t>的木材被废弃。</w:t>
      </w:r>
      <w:r>
        <w:rPr>
          <w:rFonts w:hint="default" w:cs="宋体"/>
          <w:lang w:bidi="ar"/>
        </w:rPr>
        <w:t>如果能够重新加工和再利用这些木材废弃物，将能够节约</w:t>
      </w:r>
      <w:r>
        <w:rPr>
          <w:rFonts w:cs="宋体"/>
          <w:lang w:bidi="ar"/>
        </w:rPr>
        <w:t>1亿m</w:t>
      </w:r>
      <w:r>
        <w:rPr>
          <w:rFonts w:cs="宋体"/>
          <w:vertAlign w:val="superscript"/>
          <w:lang w:bidi="ar"/>
        </w:rPr>
        <w:t>3</w:t>
      </w:r>
      <w:r>
        <w:rPr>
          <w:rFonts w:cs="宋体"/>
          <w:lang w:bidi="ar"/>
        </w:rPr>
        <w:t>的木材资源</w:t>
      </w:r>
      <w:r>
        <w:rPr>
          <w:rFonts w:cs="宋体"/>
          <w:vertAlign w:val="superscript"/>
          <w:lang w:bidi="ar"/>
        </w:rPr>
        <w:fldChar w:fldCharType="begin"/>
      </w:r>
      <w:r>
        <w:rPr>
          <w:rFonts w:cs="宋体"/>
          <w:vertAlign w:val="superscript"/>
          <w:lang w:bidi="ar"/>
        </w:rPr>
        <w:instrText xml:space="preserve"> REF _Ref1884135170 \r \h </w:instrText>
      </w:r>
      <w:r>
        <w:rPr>
          <w:rFonts w:cs="宋体"/>
          <w:vertAlign w:val="superscript"/>
          <w:lang w:bidi="ar"/>
        </w:rPr>
        <w:fldChar w:fldCharType="separate"/>
      </w:r>
      <w:r>
        <w:rPr>
          <w:rFonts w:cs="宋体"/>
          <w:vertAlign w:val="superscript"/>
          <w:lang w:bidi="ar"/>
        </w:rPr>
        <w:t>[12]</w:t>
      </w:r>
      <w:r>
        <w:rPr>
          <w:rFonts w:cs="宋体"/>
          <w:vertAlign w:val="superscript"/>
          <w:lang w:bidi="ar"/>
        </w:rPr>
        <w:fldChar w:fldCharType="end"/>
      </w:r>
      <w:r>
        <w:rPr>
          <w:rFonts w:cs="宋体"/>
          <w:lang w:bidi="ar"/>
        </w:rPr>
        <w:t>。</w:t>
      </w:r>
      <w:r>
        <w:rPr>
          <w:rFonts w:hint="default" w:cs="宋体"/>
          <w:lang w:bidi="ar"/>
        </w:rPr>
        <w:t>在生产中，对这些木材废料进行再加工和再利用，在平衡木材和</w:t>
      </w:r>
      <w:r>
        <w:rPr>
          <w:rFonts w:hint="eastAsia" w:cs="宋体"/>
          <w:lang w:eastAsia="zh-CN" w:bidi="ar"/>
        </w:rPr>
        <w:t>林业</w:t>
      </w:r>
      <w:r>
        <w:rPr>
          <w:rFonts w:hint="default" w:cs="宋体"/>
          <w:lang w:bidi="ar"/>
        </w:rPr>
        <w:t>产品的供需关系方面起着关键作用，同时也有助于缓解我国森林工业对进口原材料的依赖问题。</w:t>
      </w:r>
    </w:p>
    <w:p>
      <w:pPr>
        <w:pStyle w:val="6"/>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pPr>
      <w:r>
        <w:rPr>
          <w:rFonts w:cs="宋体"/>
          <w:lang w:bidi="ar"/>
        </w:rPr>
        <w:t>脲醛树脂</w:t>
      </w:r>
      <w:r>
        <w:rPr>
          <w:rFonts w:hint="default" w:cs="宋体"/>
          <w:lang w:bidi="ar"/>
        </w:rPr>
        <w:t>因其出色的粘合性能和</w:t>
      </w:r>
      <w:r>
        <w:rPr>
          <w:rFonts w:hint="eastAsia" w:cs="宋体"/>
          <w:lang w:eastAsia="zh-CN" w:bidi="ar"/>
        </w:rPr>
        <w:t>较</w:t>
      </w:r>
      <w:r>
        <w:rPr>
          <w:rFonts w:hint="default" w:cs="宋体"/>
          <w:lang w:bidi="ar"/>
        </w:rPr>
        <w:t>低成本而被广泛应</w:t>
      </w:r>
      <w:r>
        <w:rPr>
          <w:rFonts w:cs="宋体"/>
          <w:lang w:bidi="ar"/>
        </w:rPr>
        <w:t>用于人造板工业，因其粘合性能优异且成本低廉，用量超过人造板生产所需</w:t>
      </w:r>
      <w:r>
        <w:rPr>
          <w:rFonts w:hint="eastAsia" w:cs="宋体"/>
          <w:lang w:eastAsia="zh-CN" w:bidi="ar"/>
        </w:rPr>
        <w:t>胶合材料的</w:t>
      </w:r>
      <w:r>
        <w:rPr>
          <w:rFonts w:cs="宋体"/>
          <w:lang w:bidi="ar"/>
        </w:rPr>
        <w:t>90％以上</w:t>
      </w:r>
      <w:r>
        <w:rPr>
          <w:rFonts w:cs="宋体"/>
          <w:vertAlign w:val="superscript"/>
          <w:lang w:bidi="ar"/>
        </w:rPr>
        <w:fldChar w:fldCharType="begin"/>
      </w:r>
      <w:r>
        <w:rPr>
          <w:rFonts w:cs="宋体"/>
          <w:vertAlign w:val="superscript"/>
          <w:lang w:bidi="ar"/>
        </w:rPr>
        <w:instrText xml:space="preserve"> REF _Ref1967168853 \r \h </w:instrText>
      </w:r>
      <w:r>
        <w:rPr>
          <w:rFonts w:cs="宋体"/>
          <w:vertAlign w:val="superscript"/>
          <w:lang w:bidi="ar"/>
        </w:rPr>
        <w:fldChar w:fldCharType="separate"/>
      </w:r>
      <w:r>
        <w:rPr>
          <w:rFonts w:cs="宋体"/>
          <w:vertAlign w:val="superscript"/>
          <w:lang w:bidi="ar"/>
        </w:rPr>
        <w:t>[13]</w:t>
      </w:r>
      <w:r>
        <w:rPr>
          <w:rFonts w:cs="宋体"/>
          <w:vertAlign w:val="superscript"/>
          <w:lang w:bidi="ar"/>
        </w:rPr>
        <w:fldChar w:fldCharType="end"/>
      </w:r>
      <w:r>
        <w:rPr>
          <w:rFonts w:cs="宋体"/>
          <w:lang w:bidi="ar"/>
        </w:rPr>
        <w:t>。</w:t>
      </w:r>
      <w:r>
        <w:rPr>
          <w:rFonts w:hint="default" w:cs="宋体"/>
          <w:lang w:bidi="ar"/>
        </w:rPr>
        <w:t>然而，随着人造板材在建筑、房屋装饰和包装</w:t>
      </w:r>
      <w:r>
        <w:rPr>
          <w:rFonts w:hint="eastAsia" w:cs="宋体"/>
          <w:lang w:eastAsia="zh-CN" w:bidi="ar"/>
        </w:rPr>
        <w:t>行业</w:t>
      </w:r>
      <w:r>
        <w:rPr>
          <w:rFonts w:hint="default" w:cs="宋体"/>
          <w:lang w:bidi="ar"/>
        </w:rPr>
        <w:t>中被广泛使用，每年都会产生大量含有</w:t>
      </w:r>
      <w:r>
        <w:rPr>
          <w:rFonts w:cs="宋体"/>
          <w:lang w:bidi="ar"/>
        </w:rPr>
        <w:t>脲醛树脂的废弃板材。</w:t>
      </w:r>
      <w:r>
        <w:rPr>
          <w:rFonts w:hint="default" w:cs="宋体"/>
          <w:lang w:bidi="ar"/>
        </w:rPr>
        <w:t>不幸的是，由于人造板材废弃物中残留的</w:t>
      </w:r>
      <w:r>
        <w:rPr>
          <w:rFonts w:cs="宋体"/>
          <w:lang w:bidi="ar"/>
        </w:rPr>
        <w:t>脲醛树脂难以去除，</w:t>
      </w:r>
      <w:r>
        <w:rPr>
          <w:rFonts w:hint="default" w:cs="宋体"/>
          <w:lang w:bidi="ar"/>
        </w:rPr>
        <w:t>因此其再利用的可能性受到限制。近年来，许多国家已经将合成有机树脂废弃物归类为危险废物。</w:t>
      </w:r>
      <w:r>
        <w:rPr>
          <w:rFonts w:cs="宋体"/>
          <w:lang w:bidi="ar"/>
        </w:rPr>
        <w:t>脲醛树脂是甲醛和尿素发生化学反应形成的</w:t>
      </w:r>
      <w:r>
        <w:rPr>
          <w:rFonts w:hint="default" w:cs="宋体"/>
          <w:lang w:bidi="ar"/>
        </w:rPr>
        <w:t>高分子缩聚物</w:t>
      </w:r>
      <w:r>
        <w:rPr>
          <w:rFonts w:cs="宋体"/>
          <w:lang w:bidi="ar"/>
        </w:rPr>
        <w:t>，</w:t>
      </w:r>
      <w:r>
        <w:rPr>
          <w:rFonts w:hint="default" w:cs="宋体"/>
          <w:lang w:bidi="ar"/>
        </w:rPr>
        <w:t>难以自然降解。如果渗入地下水，将需要很长时间才能降解，而且会增加埋藏和生态压力的额外费用。欧洲</w:t>
      </w:r>
      <w:r>
        <w:rPr>
          <w:rFonts w:hint="eastAsia" w:cs="宋体"/>
          <w:lang w:eastAsia="zh-CN" w:bidi="ar"/>
        </w:rPr>
        <w:t>多国</w:t>
      </w:r>
      <w:r>
        <w:rPr>
          <w:rFonts w:hint="default" w:cs="宋体"/>
          <w:lang w:bidi="ar"/>
        </w:rPr>
        <w:t>已经通过了</w:t>
      </w:r>
      <w:r>
        <w:rPr>
          <w:rFonts w:hint="eastAsia" w:cs="宋体"/>
          <w:lang w:eastAsia="zh-CN" w:bidi="ar"/>
        </w:rPr>
        <w:t>多项</w:t>
      </w:r>
      <w:r>
        <w:rPr>
          <w:rFonts w:hint="default" w:cs="宋体"/>
          <w:lang w:bidi="ar"/>
        </w:rPr>
        <w:t>限制处理和</w:t>
      </w:r>
      <w:r>
        <w:rPr>
          <w:rFonts w:hint="eastAsia" w:cs="宋体"/>
          <w:lang w:eastAsia="zh-CN" w:bidi="ar"/>
        </w:rPr>
        <w:t>回收</w:t>
      </w:r>
      <w:r>
        <w:rPr>
          <w:rFonts w:hint="default" w:cs="宋体"/>
          <w:lang w:bidi="ar"/>
        </w:rPr>
        <w:t>合成有机树脂残留物的法律。</w:t>
      </w:r>
      <w:r>
        <w:rPr>
          <w:rFonts w:cs="宋体"/>
          <w:vertAlign w:val="superscript"/>
          <w:lang w:bidi="ar"/>
        </w:rPr>
        <w:fldChar w:fldCharType="begin"/>
      </w:r>
      <w:r>
        <w:rPr>
          <w:rFonts w:cs="宋体"/>
          <w:vertAlign w:val="superscript"/>
          <w:lang w:bidi="ar"/>
        </w:rPr>
        <w:instrText xml:space="preserve"> REF _Ref657981968 \r \h </w:instrText>
      </w:r>
      <w:r>
        <w:rPr>
          <w:rFonts w:cs="宋体"/>
          <w:vertAlign w:val="superscript"/>
          <w:lang w:bidi="ar"/>
        </w:rPr>
        <w:fldChar w:fldCharType="separate"/>
      </w:r>
      <w:r>
        <w:rPr>
          <w:rFonts w:cs="宋体"/>
          <w:vertAlign w:val="superscript"/>
          <w:lang w:bidi="ar"/>
        </w:rPr>
        <w:t>[14]</w:t>
      </w:r>
      <w:r>
        <w:rPr>
          <w:rFonts w:cs="宋体"/>
          <w:vertAlign w:val="superscript"/>
          <w:lang w:bidi="ar"/>
        </w:rPr>
        <w:fldChar w:fldCharType="end"/>
      </w:r>
      <w:r>
        <w:rPr>
          <w:rFonts w:cs="宋体"/>
          <w:lang w:bidi="ar"/>
        </w:rPr>
        <w:t>。目前，处理和回收脲醛树脂废弃物以及含有脲醛树脂废弃板材的研究引起了研究人员的广泛关注。</w:t>
      </w:r>
      <w:r>
        <w:rPr>
          <w:rFonts w:hint="default" w:cs="宋体"/>
          <w:lang w:bidi="ar"/>
        </w:rPr>
        <w:t>现有研究主要集中在研究人造板材废弃物的再利用技术和方法，如将其用于生产人造板材、生物质燃料或活性炭等。然而，对</w:t>
      </w:r>
      <w:r>
        <w:rPr>
          <w:rFonts w:hint="eastAsia" w:cs="宋体"/>
          <w:lang w:eastAsia="zh-CN" w:bidi="ar"/>
        </w:rPr>
        <w:t>胶黏剂</w:t>
      </w:r>
      <w:r>
        <w:rPr>
          <w:rFonts w:hint="default" w:cs="宋体"/>
          <w:lang w:bidi="ar"/>
        </w:rPr>
        <w:t>残留物的研究却鲜有关注。最近，关于清除和再利用</w:t>
      </w:r>
      <w:r>
        <w:rPr>
          <w:rFonts w:hint="eastAsia" w:cs="宋体"/>
          <w:lang w:eastAsia="zh-CN" w:bidi="ar"/>
        </w:rPr>
        <w:t>脲醛</w:t>
      </w:r>
      <w:r>
        <w:rPr>
          <w:rFonts w:hint="default" w:cs="宋体"/>
          <w:lang w:bidi="ar"/>
        </w:rPr>
        <w:t>树脂残留物的研究也相对较少</w:t>
      </w:r>
      <w:r>
        <w:rPr>
          <w:rFonts w:cs="宋体"/>
          <w:vertAlign w:val="superscript"/>
          <w:lang w:bidi="ar"/>
        </w:rPr>
        <w:fldChar w:fldCharType="begin"/>
      </w:r>
      <w:r>
        <w:rPr>
          <w:rFonts w:cs="宋体"/>
          <w:vertAlign w:val="superscript"/>
          <w:lang w:bidi="ar"/>
        </w:rPr>
        <w:instrText xml:space="preserve"> REF _Ref2084445912 \r \h </w:instrText>
      </w:r>
      <w:r>
        <w:rPr>
          <w:rFonts w:cs="宋体"/>
          <w:vertAlign w:val="superscript"/>
          <w:lang w:bidi="ar"/>
        </w:rPr>
        <w:fldChar w:fldCharType="separate"/>
      </w:r>
      <w:r>
        <w:rPr>
          <w:rFonts w:cs="宋体"/>
          <w:vertAlign w:val="superscript"/>
          <w:lang w:bidi="ar"/>
        </w:rPr>
        <w:t>[15]</w:t>
      </w:r>
      <w:r>
        <w:rPr>
          <w:rFonts w:cs="宋体"/>
          <w:vertAlign w:val="superscript"/>
          <w:lang w:bidi="ar"/>
        </w:rPr>
        <w:fldChar w:fldCharType="end"/>
      </w:r>
      <w:r>
        <w:rPr>
          <w:rFonts w:cs="宋体"/>
          <w:lang w:bidi="ar"/>
        </w:rPr>
        <w:t>。</w:t>
      </w:r>
      <w:r>
        <w:rPr>
          <w:rFonts w:hint="default" w:cs="宋体"/>
          <w:lang w:bidi="ar"/>
        </w:rPr>
        <w:t>因此，人造板材废弃物再利用的主要问题在于有效而生态友好地清除</w:t>
      </w:r>
      <w:r>
        <w:rPr>
          <w:rFonts w:hint="eastAsia" w:cs="宋体"/>
          <w:lang w:eastAsia="zh-CN" w:bidi="ar"/>
        </w:rPr>
        <w:t>脲醛</w:t>
      </w:r>
      <w:r>
        <w:rPr>
          <w:rFonts w:hint="default" w:cs="宋体"/>
          <w:lang w:bidi="ar"/>
        </w:rPr>
        <w:t>树脂残留物的方法。</w:t>
      </w:r>
      <w:r>
        <w:rPr>
          <w:rFonts w:cs="宋体"/>
          <w:vertAlign w:val="superscript"/>
          <w:lang w:bidi="ar"/>
        </w:rPr>
        <w:fldChar w:fldCharType="begin"/>
      </w:r>
      <w:r>
        <w:rPr>
          <w:rFonts w:cs="宋体"/>
          <w:vertAlign w:val="superscript"/>
          <w:lang w:bidi="ar"/>
        </w:rPr>
        <w:instrText xml:space="preserve"> REF _Ref1071109996 \r \h </w:instrText>
      </w:r>
      <w:r>
        <w:rPr>
          <w:rFonts w:cs="宋体"/>
          <w:vertAlign w:val="superscript"/>
          <w:lang w:bidi="ar"/>
        </w:rPr>
        <w:fldChar w:fldCharType="separate"/>
      </w:r>
      <w:r>
        <w:rPr>
          <w:rFonts w:cs="宋体"/>
          <w:vertAlign w:val="superscript"/>
          <w:lang w:bidi="ar"/>
        </w:rPr>
        <w:t>[16]</w:t>
      </w:r>
      <w:r>
        <w:rPr>
          <w:rFonts w:cs="宋体"/>
          <w:vertAlign w:val="superscript"/>
          <w:lang w:bidi="ar"/>
        </w:rPr>
        <w:fldChar w:fldCharType="end"/>
      </w:r>
      <w:r>
        <w:rPr>
          <w:rFonts w:cs="宋体"/>
          <w:lang w:bidi="ar"/>
        </w:rPr>
        <w:t>。</w:t>
      </w:r>
    </w:p>
    <w:p>
      <w:pPr>
        <w:pStyle w:val="6"/>
        <w:keepNext w:val="0"/>
        <w:keepLines w:val="0"/>
        <w:pageBreakBefore w:val="0"/>
        <w:widowControl/>
        <w:kinsoku/>
        <w:wordWrap/>
        <w:overflowPunct/>
        <w:topLinePunct w:val="0"/>
        <w:autoSpaceDE/>
        <w:autoSpaceDN/>
        <w:bidi w:val="0"/>
        <w:adjustRightInd/>
        <w:snapToGrid/>
        <w:spacing w:line="440" w:lineRule="exact"/>
        <w:ind w:firstLine="480" w:firstLineChars="200"/>
        <w:textAlignment w:val="auto"/>
      </w:pPr>
      <w:r>
        <w:rPr>
          <w:rFonts w:hint="eastAsia"/>
        </w:rPr>
        <w:t>其中，脲醛树脂</w:t>
      </w:r>
      <w:r>
        <w:t>含有大量的氮元素，进而在废弃人造板的后续焚烧或能源化利用过程中会生成氮氧化物（NO</w:t>
      </w:r>
      <w:r>
        <w:rPr>
          <w:vertAlign w:val="subscript"/>
        </w:rPr>
        <w:t>x</w:t>
      </w:r>
      <w:r>
        <w:t>）污染物，例如NO</w:t>
      </w:r>
      <w:r>
        <w:rPr>
          <w:vertAlign w:val="subscript"/>
        </w:rPr>
        <w:t>2</w:t>
      </w:r>
      <w:r>
        <w:t>和NO，对环境造成严重威胁。</w:t>
      </w:r>
      <w:r>
        <w:rPr>
          <w:rFonts w:hint="eastAsia"/>
        </w:rPr>
        <w:t>而</w:t>
      </w:r>
      <w:r>
        <w:t>通过采用不同条件的水热转化处理方式，可以有效地控制生物炭中氮元素的含量和形态。对于人造板废弃物的处理而言，研究水热转化处理过程中氮元素的迁移与转化具有重要意义。其中，作为胶黏剂使用量最大的纤维板，可以用于研究胶黏剂的处理方法。为了解在水热转化处理过程中半纤维素对氮元素迁移与转化的影响，</w:t>
      </w:r>
      <w:r>
        <w:rPr>
          <w:rFonts w:hint="eastAsia"/>
        </w:rPr>
        <w:t>本研究</w:t>
      </w:r>
      <w:r>
        <w:t>通过纤维板水热液与单体木糖</w:t>
      </w:r>
      <w:r>
        <w:rPr>
          <w:rFonts w:hint="eastAsia"/>
        </w:rPr>
        <w:t>的</w:t>
      </w:r>
      <w:r>
        <w:t>反应探究半纤维素在水热转化中对液相氮元素的吸附机制。这一研究对于纤维板的水热转化过程中氮元素的迁移与转化具有重要的指导作用。</w:t>
      </w:r>
    </w:p>
    <w:p/>
    <w:p>
      <w:pPr>
        <w:pStyle w:val="3"/>
      </w:pPr>
      <w:bookmarkStart w:id="4" w:name="_Toc166450066"/>
      <w:bookmarkStart w:id="5" w:name="_Toc166234341"/>
      <w:r>
        <w:rPr>
          <w:rFonts w:hint="eastAsia"/>
        </w:rPr>
        <w:t>1.2  生物质氮的迁移转化特性研究现状</w:t>
      </w:r>
      <w:bookmarkEnd w:id="4"/>
      <w:bookmarkEnd w:id="5"/>
    </w:p>
    <w:p>
      <w:pPr>
        <w:pStyle w:val="4"/>
      </w:pPr>
      <w:bookmarkStart w:id="6" w:name="_Toc166234342"/>
      <w:bookmarkStart w:id="7" w:name="_Toc166450067"/>
      <w:r>
        <w:rPr>
          <w:rFonts w:hint="eastAsia"/>
        </w:rPr>
        <w:t>1.</w:t>
      </w:r>
      <w:r>
        <w:t xml:space="preserve">2.1  </w:t>
      </w:r>
      <w:r>
        <w:rPr>
          <w:rFonts w:hint="eastAsia"/>
        </w:rPr>
        <w:t>热解温度对生物质氮转化方向的影响</w:t>
      </w:r>
      <w:bookmarkEnd w:id="6"/>
      <w:bookmarkEnd w:id="7"/>
    </w:p>
    <w:p>
      <w:pPr>
        <w:spacing w:line="440" w:lineRule="exact"/>
        <w:ind w:firstLine="480" w:firstLineChars="200"/>
        <w:jc w:val="both"/>
        <w:rPr>
          <w:rFonts w:hint="eastAsia" w:eastAsia="宋体"/>
          <w:bCs/>
          <w:lang w:val="en-US" w:eastAsia="zh-CN"/>
        </w:rPr>
      </w:pPr>
      <w:r>
        <w:rPr>
          <w:rFonts w:hint="eastAsia"/>
          <w:bCs/>
        </w:rPr>
        <w:t>陆等人对氮元素的迁移转化机制进行的研究发现</w:t>
      </w:r>
      <w:r>
        <w:rPr>
          <w:rFonts w:hint="eastAsia"/>
          <w:bCs/>
          <w:vertAlign w:val="superscript"/>
        </w:rPr>
        <w:fldChar w:fldCharType="begin"/>
      </w:r>
      <w:r>
        <w:rPr>
          <w:rFonts w:hint="eastAsia"/>
          <w:bCs/>
          <w:vertAlign w:val="superscript"/>
        </w:rPr>
        <w:instrText xml:space="preserve"> REF _Ref644688099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[17]</w:t>
      </w:r>
      <w:r>
        <w:rPr>
          <w:rFonts w:hint="eastAsia"/>
          <w:bCs/>
          <w:vertAlign w:val="superscript"/>
        </w:rPr>
        <w:fldChar w:fldCharType="end"/>
      </w:r>
      <w:r>
        <w:rPr>
          <w:rFonts w:hint="eastAsia"/>
          <w:bCs/>
        </w:rPr>
        <w:t>，氮在生物质热解过程中的迁移转化可以分为以下两个阶段：首先，在第一阶段中，氮元素先随着挥发物被释放出来，氮的主要挥发形式是氨（NH</w:t>
      </w:r>
      <w:r>
        <w:rPr>
          <w:rFonts w:hint="eastAsia"/>
          <w:bCs/>
          <w:vertAlign w:val="subscript"/>
        </w:rPr>
        <w:t>3</w:t>
      </w:r>
      <w:r>
        <w:rPr>
          <w:rFonts w:hint="eastAsia"/>
          <w:bCs/>
        </w:rPr>
        <w:t>）、氰化氢（HCN）和异氰酸酯（HNCO）</w:t>
      </w:r>
      <w:r>
        <w:rPr>
          <w:rFonts w:hint="eastAsia"/>
          <w:bCs/>
          <w:lang w:eastAsia="zh-CN"/>
        </w:rPr>
        <w:t>以气相氮的形式存在</w:t>
      </w:r>
      <w:r>
        <w:rPr>
          <w:rFonts w:hint="eastAsia"/>
          <w:bCs/>
        </w:rPr>
        <w:t>，而大分子</w:t>
      </w:r>
      <w:r>
        <w:rPr>
          <w:rFonts w:hint="eastAsia"/>
          <w:bCs/>
          <w:lang w:eastAsia="zh-CN"/>
        </w:rPr>
        <w:t>的</w:t>
      </w:r>
      <w:r>
        <w:rPr>
          <w:rFonts w:hint="eastAsia"/>
          <w:bCs/>
        </w:rPr>
        <w:t>气相氮则会</w:t>
      </w:r>
      <w:r>
        <w:rPr>
          <w:rFonts w:hint="eastAsia"/>
          <w:bCs/>
          <w:lang w:eastAsia="zh-CN"/>
        </w:rPr>
        <w:t>凝结为</w:t>
      </w:r>
      <w:r>
        <w:rPr>
          <w:rFonts w:hint="eastAsia"/>
          <w:bCs/>
        </w:rPr>
        <w:t>液态氮</w:t>
      </w:r>
      <w:r>
        <w:rPr>
          <w:rFonts w:hint="eastAsia"/>
          <w:bCs/>
          <w:vertAlign w:val="superscript"/>
        </w:rPr>
        <w:fldChar w:fldCharType="begin"/>
      </w:r>
      <w:r>
        <w:rPr>
          <w:rFonts w:hint="eastAsia"/>
          <w:bCs/>
          <w:vertAlign w:val="superscript"/>
        </w:rPr>
        <w:instrText xml:space="preserve"> REF _Ref769022685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[18]</w:t>
      </w:r>
      <w:r>
        <w:rPr>
          <w:rFonts w:hint="eastAsia"/>
          <w:bCs/>
          <w:vertAlign w:val="superscript"/>
        </w:rPr>
        <w:fldChar w:fldCharType="end"/>
      </w:r>
      <w:r>
        <w:rPr>
          <w:rFonts w:hint="eastAsia"/>
          <w:bCs/>
        </w:rPr>
        <w:t>。然后，在第二阶段，一次热解产物经历一系列均相和异相的二次反应，包括断裂、重组、脱氢、脱水、凝结、聚合、氧化和气化等</w:t>
      </w:r>
      <w:r>
        <w:rPr>
          <w:rFonts w:hint="eastAsia"/>
          <w:bCs/>
          <w:vertAlign w:val="superscript"/>
        </w:rPr>
        <w:fldChar w:fldCharType="begin"/>
      </w:r>
      <w:r>
        <w:rPr>
          <w:rFonts w:hint="eastAsia"/>
          <w:bCs/>
          <w:vertAlign w:val="superscript"/>
        </w:rPr>
        <w:instrText xml:space="preserve"> REF _Ref580487286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[19]</w:t>
      </w:r>
      <w:r>
        <w:rPr>
          <w:rFonts w:hint="eastAsia"/>
          <w:bCs/>
          <w:vertAlign w:val="superscript"/>
        </w:rPr>
        <w:fldChar w:fldCharType="end"/>
      </w:r>
      <w:r>
        <w:rPr>
          <w:rFonts w:hint="eastAsia"/>
          <w:bCs/>
        </w:rPr>
        <w:t>。这些反应发生在液相、固相和气相中，导致大分子氮进一步裂解生成气相氮，如HCN、NH</w:t>
      </w:r>
      <w:r>
        <w:rPr>
          <w:rFonts w:hint="eastAsia"/>
          <w:bCs/>
          <w:vertAlign w:val="subscript"/>
        </w:rPr>
        <w:t>3</w:t>
      </w:r>
      <w:r>
        <w:rPr>
          <w:rFonts w:hint="eastAsia"/>
          <w:bCs/>
        </w:rPr>
        <w:t>、HNCO、NO、N</w:t>
      </w:r>
      <w:r>
        <w:rPr>
          <w:rFonts w:hint="eastAsia"/>
          <w:bCs/>
          <w:vertAlign w:val="subscript"/>
        </w:rPr>
        <w:t>2</w:t>
      </w:r>
      <w:r>
        <w:rPr>
          <w:rFonts w:hint="eastAsia"/>
          <w:bCs/>
        </w:rPr>
        <w:t>等，以及少量固</w:t>
      </w:r>
      <w:r>
        <w:rPr>
          <w:rFonts w:hint="eastAsia"/>
          <w:bCs/>
          <w:lang w:eastAsia="zh-CN"/>
        </w:rPr>
        <w:t>相</w:t>
      </w:r>
      <w:r>
        <w:rPr>
          <w:rFonts w:hint="eastAsia"/>
          <w:bCs/>
        </w:rPr>
        <w:t>氮（氮焦）的形成。不稳定的氮焦也可以经历二次分解并与含氮杂环化合物形成液</w:t>
      </w:r>
      <w:r>
        <w:rPr>
          <w:rFonts w:hint="eastAsia"/>
          <w:bCs/>
          <w:lang w:eastAsia="zh-CN"/>
        </w:rPr>
        <w:t>相</w:t>
      </w:r>
      <w:r>
        <w:rPr>
          <w:rFonts w:hint="eastAsia"/>
          <w:bCs/>
        </w:rPr>
        <w:t>氮。在热解环境中存在氧气时，氮焦和气</w:t>
      </w:r>
      <w:r>
        <w:rPr>
          <w:rFonts w:hint="eastAsia"/>
          <w:bCs/>
          <w:lang w:eastAsia="zh-CN"/>
        </w:rPr>
        <w:t>相</w:t>
      </w:r>
      <w:r>
        <w:rPr>
          <w:rFonts w:hint="eastAsia"/>
          <w:bCs/>
        </w:rPr>
        <w:t>氮被氧化为氮氧化物（NO</w:t>
      </w:r>
      <w:r>
        <w:rPr>
          <w:rFonts w:hint="eastAsia"/>
          <w:bCs/>
          <w:vertAlign w:val="subscript"/>
        </w:rPr>
        <w:t>x</w:t>
      </w:r>
      <w:r>
        <w:rPr>
          <w:rFonts w:hint="eastAsia"/>
          <w:bCs/>
        </w:rPr>
        <w:t>）和氮气（N</w:t>
      </w:r>
      <w:r>
        <w:rPr>
          <w:rFonts w:hint="eastAsia"/>
          <w:bCs/>
          <w:vertAlign w:val="subscript"/>
        </w:rPr>
        <w:t>2</w:t>
      </w:r>
      <w:r>
        <w:rPr>
          <w:rFonts w:hint="eastAsia"/>
          <w:bCs/>
        </w:rPr>
        <w:t>）</w:t>
      </w:r>
      <w:r>
        <w:rPr>
          <w:rFonts w:hint="eastAsia"/>
          <w:bCs/>
          <w:vertAlign w:val="superscript"/>
        </w:rPr>
        <w:fldChar w:fldCharType="begin"/>
      </w:r>
      <w:r>
        <w:rPr>
          <w:rFonts w:hint="eastAsia"/>
          <w:bCs/>
          <w:vertAlign w:val="superscript"/>
        </w:rPr>
        <w:instrText xml:space="preserve"> REF _Ref758721652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[20]</w:t>
      </w:r>
      <w:r>
        <w:rPr>
          <w:rFonts w:hint="eastAsia"/>
          <w:bCs/>
          <w:vertAlign w:val="superscript"/>
        </w:rPr>
        <w:fldChar w:fldCharType="end"/>
      </w:r>
      <w:r>
        <w:rPr>
          <w:rFonts w:hint="eastAsia"/>
          <w:bCs/>
        </w:rPr>
        <w:t>。此外，刘等人在对生物质热解过程中氮转化机理的研究中发现，在生物质热解过程中，氮元素迁移并转化为气</w:t>
      </w:r>
      <w:r>
        <w:rPr>
          <w:rFonts w:hint="eastAsia"/>
          <w:bCs/>
          <w:lang w:eastAsia="zh-CN"/>
        </w:rPr>
        <w:t>相</w:t>
      </w:r>
      <w:r>
        <w:rPr>
          <w:rFonts w:hint="eastAsia"/>
          <w:bCs/>
        </w:rPr>
        <w:t>氮、液</w:t>
      </w:r>
      <w:r>
        <w:rPr>
          <w:rFonts w:hint="eastAsia"/>
          <w:bCs/>
          <w:lang w:eastAsia="zh-CN"/>
        </w:rPr>
        <w:t>相</w:t>
      </w:r>
      <w:r>
        <w:rPr>
          <w:rFonts w:hint="eastAsia"/>
          <w:bCs/>
        </w:rPr>
        <w:t>氮和氮焦，存在于产物的气态、液态和固态相中。NO</w:t>
      </w:r>
      <w:r>
        <w:rPr>
          <w:rFonts w:hint="eastAsia"/>
          <w:bCs/>
          <w:vertAlign w:val="subscript"/>
        </w:rPr>
        <w:t>x</w:t>
      </w:r>
      <w:r>
        <w:rPr>
          <w:rFonts w:hint="eastAsia"/>
          <w:bCs/>
        </w:rPr>
        <w:t>前驱物的</w:t>
      </w:r>
      <w:r>
        <w:rPr>
          <w:rFonts w:hint="eastAsia"/>
          <w:bCs/>
          <w:lang w:eastAsia="zh-CN"/>
        </w:rPr>
        <w:t>形成</w:t>
      </w:r>
      <w:r>
        <w:rPr>
          <w:rFonts w:hint="eastAsia"/>
          <w:bCs/>
        </w:rPr>
        <w:t>既与气相氮</w:t>
      </w:r>
      <w:r>
        <w:rPr>
          <w:rFonts w:hint="eastAsia"/>
          <w:bCs/>
          <w:lang w:eastAsia="zh-CN"/>
        </w:rPr>
        <w:t>的</w:t>
      </w:r>
      <w:r>
        <w:rPr>
          <w:rFonts w:hint="eastAsia"/>
          <w:bCs/>
        </w:rPr>
        <w:t>直接来源有关，也可能由液相氮和氮焦进一步转化而成</w:t>
      </w:r>
      <w:r>
        <w:rPr>
          <w:rFonts w:hint="eastAsia"/>
          <w:bCs/>
          <w:vertAlign w:val="superscript"/>
        </w:rPr>
        <w:fldChar w:fldCharType="begin"/>
      </w:r>
      <w:r>
        <w:rPr>
          <w:rFonts w:hint="eastAsia"/>
          <w:bCs/>
          <w:vertAlign w:val="superscript"/>
        </w:rPr>
        <w:instrText xml:space="preserve"> REF _Ref890482365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[21]</w:t>
      </w:r>
      <w:r>
        <w:rPr>
          <w:rFonts w:hint="eastAsia"/>
          <w:bCs/>
          <w:vertAlign w:val="superscript"/>
        </w:rPr>
        <w:fldChar w:fldCharType="end"/>
      </w:r>
      <w:r>
        <w:rPr>
          <w:rFonts w:hint="eastAsia"/>
          <w:bCs/>
        </w:rPr>
        <w:t>。马等人</w:t>
      </w:r>
      <w:r>
        <w:rPr>
          <w:rFonts w:hint="eastAsia"/>
          <w:bCs/>
          <w:lang w:eastAsia="zh-CN"/>
        </w:rPr>
        <w:t>研究了纤维</w:t>
      </w:r>
      <w:r>
        <w:rPr>
          <w:rFonts w:hint="eastAsia"/>
          <w:bCs/>
        </w:rPr>
        <w:t>板</w:t>
      </w:r>
      <w:r>
        <w:rPr>
          <w:rFonts w:hint="eastAsia"/>
          <w:bCs/>
          <w:lang w:eastAsia="zh-CN"/>
        </w:rPr>
        <w:t>与</w:t>
      </w:r>
      <w:r>
        <w:rPr>
          <w:rFonts w:hint="eastAsia"/>
          <w:bCs/>
        </w:rPr>
        <w:t>竹</w:t>
      </w:r>
      <w:r>
        <w:rPr>
          <w:rFonts w:hint="eastAsia"/>
          <w:bCs/>
          <w:lang w:eastAsia="zh-CN"/>
        </w:rPr>
        <w:t>材</w:t>
      </w:r>
      <w:r>
        <w:rPr>
          <w:rFonts w:hint="eastAsia"/>
          <w:bCs/>
        </w:rPr>
        <w:t>的水热转化过程中氮的迁移和转化成固</w:t>
      </w:r>
      <w:r>
        <w:rPr>
          <w:rFonts w:hint="eastAsia"/>
          <w:bCs/>
          <w:lang w:eastAsia="zh-CN"/>
        </w:rPr>
        <w:t>相</w:t>
      </w:r>
      <w:r>
        <w:rPr>
          <w:rFonts w:hint="eastAsia"/>
          <w:bCs/>
        </w:rPr>
        <w:t>产物（水热炭）的情况，发现在不同的水热条件下，制造</w:t>
      </w:r>
      <w:r>
        <w:rPr>
          <w:rFonts w:hint="eastAsia"/>
          <w:bCs/>
          <w:lang w:eastAsia="zh-CN"/>
        </w:rPr>
        <w:t>纤维</w:t>
      </w:r>
      <w:r>
        <w:rPr>
          <w:rFonts w:hint="eastAsia"/>
          <w:bCs/>
        </w:rPr>
        <w:t>板时加入</w:t>
      </w:r>
      <w:r>
        <w:rPr>
          <w:rFonts w:hint="eastAsia"/>
          <w:bCs/>
          <w:lang w:eastAsia="zh-CN"/>
        </w:rPr>
        <w:t>胶黏剂</w:t>
      </w:r>
      <w:r>
        <w:rPr>
          <w:rFonts w:hint="eastAsia"/>
          <w:bCs/>
        </w:rPr>
        <w:t>可使氮元素的含量达到6.42%，而氮在水热转化过程中容易迁移到液相中，从而导致水热</w:t>
      </w:r>
      <w:r>
        <w:rPr>
          <w:rFonts w:hint="eastAsia"/>
          <w:bCs/>
          <w:lang w:eastAsia="zh-CN"/>
        </w:rPr>
        <w:t>炭</w:t>
      </w:r>
      <w:r>
        <w:rPr>
          <w:rFonts w:hint="eastAsia"/>
          <w:bCs/>
        </w:rPr>
        <w:t>中氮的含量显著降低。此外，杂环氮被转化为更稳定的N-Q结构，有助于提高水热</w:t>
      </w:r>
      <w:r>
        <w:rPr>
          <w:rFonts w:hint="eastAsia"/>
          <w:bCs/>
          <w:lang w:eastAsia="zh-CN"/>
        </w:rPr>
        <w:t>炭</w:t>
      </w:r>
      <w:r>
        <w:rPr>
          <w:rFonts w:hint="eastAsia"/>
          <w:bCs/>
        </w:rPr>
        <w:t>中氮的稳定性</w:t>
      </w:r>
      <w:r>
        <w:rPr>
          <w:rFonts w:hint="eastAsia"/>
          <w:bCs/>
          <w:vertAlign w:val="superscript"/>
        </w:rPr>
        <w:fldChar w:fldCharType="begin"/>
      </w:r>
      <w:r>
        <w:rPr>
          <w:rFonts w:hint="eastAsia"/>
          <w:bCs/>
          <w:vertAlign w:val="superscript"/>
        </w:rPr>
        <w:instrText xml:space="preserve"> REF _Ref1473506265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[22]</w:t>
      </w:r>
      <w:r>
        <w:rPr>
          <w:rFonts w:hint="eastAsia"/>
          <w:bCs/>
          <w:vertAlign w:val="superscript"/>
        </w:rPr>
        <w:fldChar w:fldCharType="end"/>
      </w:r>
      <w:r>
        <w:rPr>
          <w:rFonts w:hint="eastAsia"/>
          <w:bCs/>
        </w:rPr>
        <w:t>。液</w:t>
      </w:r>
      <w:r>
        <w:rPr>
          <w:rFonts w:hint="eastAsia"/>
          <w:bCs/>
          <w:lang w:eastAsia="zh-CN"/>
        </w:rPr>
        <w:t>相</w:t>
      </w:r>
      <w:r>
        <w:rPr>
          <w:rFonts w:hint="eastAsia"/>
          <w:bCs/>
        </w:rPr>
        <w:t>氮的迁移和转化也会因热解条件的不同而变化。例如，随着温度的升高，液</w:t>
      </w:r>
      <w:r>
        <w:rPr>
          <w:rFonts w:hint="eastAsia"/>
          <w:bCs/>
          <w:lang w:eastAsia="zh-CN"/>
        </w:rPr>
        <w:t>相</w:t>
      </w:r>
      <w:r>
        <w:rPr>
          <w:rFonts w:hint="eastAsia"/>
          <w:bCs/>
        </w:rPr>
        <w:t>氮会转化为气</w:t>
      </w:r>
      <w:r>
        <w:rPr>
          <w:rFonts w:hint="eastAsia"/>
          <w:bCs/>
          <w:lang w:eastAsia="zh-CN"/>
        </w:rPr>
        <w:t>相</w:t>
      </w:r>
      <w:r>
        <w:rPr>
          <w:rFonts w:hint="eastAsia"/>
          <w:bCs/>
        </w:rPr>
        <w:t>氮，但不同的温度条件对最终产物的形成有不同的影响</w:t>
      </w:r>
      <w:r>
        <w:rPr>
          <w:rFonts w:hint="eastAsia"/>
          <w:bCs/>
          <w:vertAlign w:val="superscript"/>
        </w:rPr>
        <w:fldChar w:fldCharType="begin"/>
      </w:r>
      <w:r>
        <w:rPr>
          <w:rFonts w:hint="eastAsia"/>
          <w:bCs/>
          <w:vertAlign w:val="superscript"/>
        </w:rPr>
        <w:instrText xml:space="preserve"> REF _Ref2003973596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[22]</w:t>
      </w:r>
      <w:r>
        <w:rPr>
          <w:rFonts w:hint="eastAsia"/>
          <w:bCs/>
          <w:vertAlign w:val="superscript"/>
        </w:rPr>
        <w:fldChar w:fldCharType="end"/>
      </w:r>
      <w:r>
        <w:rPr>
          <w:rFonts w:hint="eastAsia"/>
          <w:bCs/>
        </w:rPr>
        <w:t xml:space="preserve">。在400 </w:t>
      </w:r>
      <w:r>
        <w:rPr>
          <w:bCs/>
        </w:rPr>
        <w:t>°C</w:t>
      </w:r>
      <w:r>
        <w:rPr>
          <w:rFonts w:hint="eastAsia"/>
          <w:bCs/>
        </w:rPr>
        <w:t xml:space="preserve">至800 </w:t>
      </w:r>
      <w:r>
        <w:rPr>
          <w:bCs/>
        </w:rPr>
        <w:t>°C</w:t>
      </w:r>
      <w:r>
        <w:rPr>
          <w:rFonts w:hint="eastAsia"/>
          <w:bCs/>
        </w:rPr>
        <w:t>的温度范围内，温度的升高有助于进一步分解生物质，生成HCN和NH</w:t>
      </w:r>
      <w:r>
        <w:rPr>
          <w:rFonts w:hint="eastAsia"/>
          <w:bCs/>
          <w:vertAlign w:val="subscript"/>
        </w:rPr>
        <w:t>3</w:t>
      </w:r>
      <w:r>
        <w:rPr>
          <w:rFonts w:hint="eastAsia"/>
          <w:bCs/>
        </w:rPr>
        <w:t xml:space="preserve">。但是在600 </w:t>
      </w:r>
      <w:r>
        <w:rPr>
          <w:bCs/>
        </w:rPr>
        <w:t>°C</w:t>
      </w:r>
      <w:r>
        <w:rPr>
          <w:rFonts w:hint="eastAsia"/>
          <w:bCs/>
        </w:rPr>
        <w:t>以上的温度下，HCN的</w:t>
      </w:r>
      <w:r>
        <w:rPr>
          <w:rFonts w:hint="eastAsia"/>
          <w:bCs/>
          <w:lang w:eastAsia="zh-CN"/>
        </w:rPr>
        <w:t>产量超过</w:t>
      </w:r>
      <w:r>
        <w:rPr>
          <w:rFonts w:hint="eastAsia"/>
          <w:bCs/>
        </w:rPr>
        <w:t>高于NH</w:t>
      </w:r>
      <w:r>
        <w:rPr>
          <w:rFonts w:hint="eastAsia"/>
          <w:bCs/>
          <w:vertAlign w:val="subscript"/>
        </w:rPr>
        <w:t>3</w:t>
      </w:r>
      <w:r>
        <w:rPr>
          <w:rFonts w:hint="eastAsia"/>
          <w:bCs/>
          <w:vertAlign w:val="baseline"/>
          <w:lang w:eastAsia="zh-CN"/>
        </w:rPr>
        <w:t>的产量</w:t>
      </w:r>
      <w:r>
        <w:rPr>
          <w:rFonts w:hint="eastAsia"/>
          <w:bCs/>
          <w:vertAlign w:val="superscript"/>
        </w:rPr>
        <w:fldChar w:fldCharType="begin"/>
      </w:r>
      <w:r>
        <w:rPr>
          <w:rFonts w:hint="eastAsia"/>
          <w:bCs/>
          <w:vertAlign w:val="superscript"/>
        </w:rPr>
        <w:instrText xml:space="preserve"> REF _Ref1523743767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[24]</w:t>
      </w:r>
      <w:r>
        <w:rPr>
          <w:rFonts w:hint="eastAsia"/>
          <w:bCs/>
          <w:vertAlign w:val="superscript"/>
        </w:rPr>
        <w:fldChar w:fldCharType="end"/>
      </w:r>
      <w:r>
        <w:rPr>
          <w:rFonts w:hint="eastAsia"/>
          <w:bCs/>
        </w:rPr>
        <w:t xml:space="preserve">。在1000 </w:t>
      </w:r>
      <w:r>
        <w:rPr>
          <w:bCs/>
        </w:rPr>
        <w:t>°C</w:t>
      </w:r>
      <w:r>
        <w:rPr>
          <w:rFonts w:hint="eastAsia"/>
          <w:bCs/>
        </w:rPr>
        <w:t>以上的温度下，具有更高热稳定性的氮化物更容易转化为NH</w:t>
      </w:r>
      <w:r>
        <w:rPr>
          <w:rFonts w:hint="eastAsia"/>
          <w:bCs/>
          <w:vertAlign w:val="subscript"/>
        </w:rPr>
        <w:t>3</w:t>
      </w:r>
      <w:r>
        <w:rPr>
          <w:rFonts w:hint="eastAsia"/>
          <w:bCs/>
        </w:rPr>
        <w:t>，而具有较低热稳定性的物质更容易转化为HCN</w:t>
      </w:r>
      <w:r>
        <w:rPr>
          <w:rFonts w:hint="eastAsia"/>
          <w:bCs/>
          <w:vertAlign w:val="superscript"/>
        </w:rPr>
        <w:fldChar w:fldCharType="begin"/>
      </w:r>
      <w:r>
        <w:rPr>
          <w:rFonts w:hint="eastAsia"/>
          <w:bCs/>
          <w:vertAlign w:val="superscript"/>
        </w:rPr>
        <w:instrText xml:space="preserve"> REF _Ref654844260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[25]</w:t>
      </w:r>
      <w:r>
        <w:rPr>
          <w:rFonts w:hint="eastAsia"/>
          <w:bCs/>
          <w:vertAlign w:val="superscript"/>
        </w:rPr>
        <w:fldChar w:fldCharType="end"/>
      </w:r>
      <w:r>
        <w:rPr>
          <w:rFonts w:hint="eastAsia"/>
          <w:bCs/>
        </w:rPr>
        <w:t>。与单环氮化合物相比，多环氮化合物表现出更好的热稳定性，并更容易转化为NH</w:t>
      </w:r>
      <w:r>
        <w:rPr>
          <w:rFonts w:hint="eastAsia"/>
          <w:bCs/>
          <w:vertAlign w:val="subscript"/>
        </w:rPr>
        <w:t>3</w:t>
      </w:r>
      <w:r>
        <w:rPr>
          <w:rFonts w:hint="eastAsia"/>
          <w:bCs/>
          <w:vertAlign w:val="superscript"/>
        </w:rPr>
        <w:fldChar w:fldCharType="begin"/>
      </w:r>
      <w:r>
        <w:rPr>
          <w:rFonts w:hint="eastAsia"/>
          <w:bCs/>
          <w:vertAlign w:val="superscript"/>
        </w:rPr>
        <w:instrText xml:space="preserve"> REF _Ref1826408334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[19]</w:t>
      </w:r>
      <w:r>
        <w:rPr>
          <w:rFonts w:hint="eastAsia"/>
          <w:bCs/>
          <w:vertAlign w:val="superscript"/>
        </w:rPr>
        <w:fldChar w:fldCharType="end"/>
      </w:r>
      <w:r>
        <w:rPr>
          <w:rFonts w:hint="eastAsia"/>
          <w:bCs/>
        </w:rPr>
        <w:t>。根据刘等的研究</w:t>
      </w:r>
      <w:r>
        <w:rPr>
          <w:rFonts w:hint="eastAsia"/>
          <w:bCs/>
          <w:vertAlign w:val="superscript"/>
        </w:rPr>
        <w:fldChar w:fldCharType="begin"/>
      </w:r>
      <w:r>
        <w:rPr>
          <w:rFonts w:hint="eastAsia"/>
          <w:bCs/>
          <w:vertAlign w:val="superscript"/>
        </w:rPr>
        <w:instrText xml:space="preserve"> REF _Ref1634192670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[26]</w:t>
      </w:r>
      <w:r>
        <w:rPr>
          <w:rFonts w:hint="eastAsia"/>
          <w:bCs/>
          <w:vertAlign w:val="superscript"/>
        </w:rPr>
        <w:fldChar w:fldCharType="end"/>
      </w:r>
      <w:r>
        <w:rPr>
          <w:rFonts w:hint="eastAsia"/>
          <w:bCs/>
        </w:rPr>
        <w:t>，他们选择了四种煤样进行热解试验，并观察到随着温度的升高，自由粒子开始攻击煤中的含氮官能团，生成了HCN和NH</w:t>
      </w:r>
      <w:r>
        <w:rPr>
          <w:rFonts w:hint="eastAsia"/>
          <w:bCs/>
          <w:vertAlign w:val="subscript"/>
        </w:rPr>
        <w:t>3</w:t>
      </w:r>
      <w:r>
        <w:rPr>
          <w:rFonts w:hint="eastAsia"/>
          <w:bCs/>
        </w:rPr>
        <w:t>，并同时产生了大量的氮原子。氮原子在热分解过程中可以相互作用，或者与其他</w:t>
      </w:r>
      <w:r>
        <w:rPr>
          <w:rFonts w:hint="eastAsia"/>
          <w:bCs/>
          <w:lang w:eastAsia="zh-CN"/>
        </w:rPr>
        <w:t>官能团</w:t>
      </w:r>
      <w:r>
        <w:rPr>
          <w:rFonts w:hint="eastAsia"/>
          <w:bCs/>
        </w:rPr>
        <w:t>发生反应，生成N</w:t>
      </w:r>
      <w:r>
        <w:rPr>
          <w:rFonts w:hint="eastAsia"/>
          <w:bCs/>
          <w:vertAlign w:val="subscript"/>
        </w:rPr>
        <w:t>2</w:t>
      </w:r>
      <w:r>
        <w:rPr>
          <w:rFonts w:hint="eastAsia"/>
          <w:bCs/>
        </w:rPr>
        <w:t>气体。此外，研究指出在700</w:t>
      </w:r>
      <w:r>
        <w:rPr>
          <w:rFonts w:hint="default"/>
          <w:bCs/>
          <w:lang w:val="en-US"/>
        </w:rPr>
        <w:t xml:space="preserve"> </w:t>
      </w:r>
      <w:r>
        <w:rPr>
          <w:bCs/>
        </w:rPr>
        <w:t>°C</w:t>
      </w:r>
      <w:r>
        <w:rPr>
          <w:rFonts w:hint="eastAsia"/>
          <w:bCs/>
        </w:rPr>
        <w:t>以上时，气</w:t>
      </w:r>
      <w:r>
        <w:rPr>
          <w:rFonts w:hint="eastAsia"/>
          <w:bCs/>
          <w:lang w:eastAsia="zh-CN"/>
        </w:rPr>
        <w:t>相</w:t>
      </w:r>
      <w:r>
        <w:rPr>
          <w:rFonts w:hint="eastAsia"/>
          <w:bCs/>
        </w:rPr>
        <w:t>氮主要以N</w:t>
      </w:r>
      <w:r>
        <w:rPr>
          <w:rFonts w:hint="eastAsia"/>
          <w:bCs/>
          <w:vertAlign w:val="subscript"/>
        </w:rPr>
        <w:t>2</w:t>
      </w:r>
      <w:r>
        <w:rPr>
          <w:rFonts w:hint="eastAsia"/>
          <w:bCs/>
        </w:rPr>
        <w:t>形式存在。分解温度在煤炭分解过程中起到关键作用，这一观点也得到了广泛的实验支持</w:t>
      </w:r>
      <w:r>
        <w:rPr>
          <w:rFonts w:hint="eastAsia"/>
          <w:bCs/>
          <w:lang w:eastAsia="zh-CN"/>
        </w:rPr>
        <w:t>，</w:t>
      </w:r>
      <w:r>
        <w:rPr>
          <w:rFonts w:hint="eastAsia"/>
          <w:bCs/>
        </w:rPr>
        <w:t>冯等人对神木煤进行的实验也证明了这一点</w:t>
      </w:r>
      <w:r>
        <w:rPr>
          <w:rFonts w:hint="eastAsia"/>
          <w:bCs/>
          <w:vertAlign w:val="superscript"/>
        </w:rPr>
        <w:fldChar w:fldCharType="begin"/>
      </w:r>
      <w:r>
        <w:rPr>
          <w:rFonts w:hint="eastAsia"/>
          <w:bCs/>
          <w:vertAlign w:val="superscript"/>
        </w:rPr>
        <w:instrText xml:space="preserve"> REF _Ref1673805441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[27]</w:t>
      </w:r>
      <w:r>
        <w:rPr>
          <w:rFonts w:hint="eastAsia"/>
          <w:bCs/>
          <w:vertAlign w:val="superscript"/>
        </w:rPr>
        <w:fldChar w:fldCharType="end"/>
      </w:r>
      <w:r>
        <w:rPr>
          <w:rFonts w:hint="eastAsia"/>
          <w:bCs/>
          <w:vertAlign w:val="baseline"/>
          <w:lang w:eastAsia="zh-CN"/>
        </w:rPr>
        <w:t>。</w:t>
      </w:r>
      <w:r>
        <w:rPr>
          <w:rFonts w:hint="eastAsia"/>
          <w:bCs/>
        </w:rPr>
        <w:t>在不同温度下</w:t>
      </w:r>
      <w:r>
        <w:rPr>
          <w:rFonts w:hint="eastAsia"/>
          <w:bCs/>
          <w:lang w:eastAsia="zh-CN"/>
        </w:rPr>
        <w:t>（</w:t>
      </w:r>
      <w:r>
        <w:rPr>
          <w:rFonts w:hint="eastAsia"/>
          <w:bCs/>
        </w:rPr>
        <w:t>500</w:t>
      </w:r>
      <w:r>
        <w:rPr>
          <w:rFonts w:hint="default"/>
          <w:bCs/>
          <w:lang w:val="en-US"/>
        </w:rPr>
        <w:t xml:space="preserve"> </w:t>
      </w:r>
      <w:r>
        <w:rPr>
          <w:bCs/>
        </w:rPr>
        <w:t>°C</w:t>
      </w:r>
      <w:r>
        <w:rPr>
          <w:rFonts w:hint="eastAsia"/>
          <w:bCs/>
        </w:rPr>
        <w:t>、700</w:t>
      </w:r>
      <w:r>
        <w:rPr>
          <w:rFonts w:hint="default"/>
          <w:bCs/>
          <w:lang w:val="en-US"/>
        </w:rPr>
        <w:t xml:space="preserve"> </w:t>
      </w:r>
      <w:r>
        <w:rPr>
          <w:bCs/>
        </w:rPr>
        <w:t>°C</w:t>
      </w:r>
      <w:r>
        <w:rPr>
          <w:rFonts w:hint="eastAsia"/>
          <w:bCs/>
        </w:rPr>
        <w:t>和900</w:t>
      </w:r>
      <w:r>
        <w:rPr>
          <w:rFonts w:hint="default"/>
          <w:bCs/>
          <w:lang w:val="en-US"/>
        </w:rPr>
        <w:t xml:space="preserve"> </w:t>
      </w:r>
      <w:r>
        <w:rPr>
          <w:bCs/>
        </w:rPr>
        <w:t>°C</w:t>
      </w:r>
      <w:r>
        <w:rPr>
          <w:rFonts w:hint="eastAsia"/>
          <w:bCs/>
          <w:lang w:eastAsia="zh-CN"/>
        </w:rPr>
        <w:t>）</w:t>
      </w:r>
      <w:r>
        <w:rPr>
          <w:rFonts w:hint="eastAsia"/>
          <w:bCs/>
        </w:rPr>
        <w:t>，收集到的</w:t>
      </w:r>
      <w:r>
        <w:rPr>
          <w:rFonts w:hint="eastAsia"/>
          <w:bCs/>
          <w:lang w:eastAsia="zh-CN"/>
        </w:rPr>
        <w:t>气体</w:t>
      </w:r>
      <w:r>
        <w:rPr>
          <w:rFonts w:hint="eastAsia"/>
          <w:bCs/>
        </w:rPr>
        <w:t>HCN和NH</w:t>
      </w:r>
      <w:r>
        <w:rPr>
          <w:rFonts w:hint="eastAsia"/>
          <w:bCs/>
          <w:vertAlign w:val="subscript"/>
        </w:rPr>
        <w:t>3</w:t>
      </w:r>
      <w:r>
        <w:rPr>
          <w:rFonts w:hint="eastAsia"/>
          <w:bCs/>
        </w:rPr>
        <w:t>的量随着温度的升高而增加。这是因为随着温度的升高，羟基团的活性增强，促进了氮杂环的破坏和NH</w:t>
      </w:r>
      <w:r>
        <w:rPr>
          <w:rFonts w:hint="eastAsia"/>
          <w:bCs/>
          <w:vertAlign w:val="subscript"/>
        </w:rPr>
        <w:t>3</w:t>
      </w:r>
      <w:r>
        <w:rPr>
          <w:rFonts w:hint="eastAsia"/>
          <w:bCs/>
        </w:rPr>
        <w:t>的生成，同时HCN的形成可能与高温下氮的分解有关。</w:t>
      </w:r>
    </w:p>
    <w:p>
      <w:pPr>
        <w:spacing w:line="440" w:lineRule="exact"/>
        <w:ind w:firstLine="480" w:firstLineChars="200"/>
        <w:rPr>
          <w:bCs/>
        </w:rPr>
      </w:pPr>
    </w:p>
    <w:p>
      <w:pPr>
        <w:pStyle w:val="4"/>
      </w:pPr>
      <w:bookmarkStart w:id="8" w:name="_Toc166450068"/>
      <w:bookmarkStart w:id="9" w:name="_Toc166234343"/>
      <w:r>
        <w:rPr>
          <w:rFonts w:hint="eastAsia"/>
        </w:rPr>
        <w:t>1.2.2  热解气氛对生物质氮转化方向的影响</w:t>
      </w:r>
      <w:bookmarkEnd w:id="8"/>
      <w:bookmarkEnd w:id="9"/>
    </w:p>
    <w:p>
      <w:pPr>
        <w:spacing w:line="440" w:lineRule="exact"/>
        <w:ind w:firstLine="480" w:firstLineChars="200"/>
        <w:jc w:val="both"/>
        <w:rPr>
          <w:bCs/>
        </w:rPr>
      </w:pPr>
      <w:r>
        <w:rPr>
          <w:rFonts w:hint="eastAsia"/>
          <w:bCs/>
        </w:rPr>
        <w:t>此外，热解过程中的大气条件也会影响液</w:t>
      </w:r>
      <w:r>
        <w:rPr>
          <w:rFonts w:hint="eastAsia"/>
          <w:bCs/>
          <w:lang w:eastAsia="zh-CN"/>
        </w:rPr>
        <w:t>相</w:t>
      </w:r>
      <w:r>
        <w:rPr>
          <w:rFonts w:hint="eastAsia"/>
          <w:bCs/>
        </w:rPr>
        <w:t>氮转化为气</w:t>
      </w:r>
      <w:r>
        <w:rPr>
          <w:rFonts w:hint="eastAsia"/>
          <w:bCs/>
          <w:lang w:eastAsia="zh-CN"/>
        </w:rPr>
        <w:t>相</w:t>
      </w:r>
      <w:r>
        <w:rPr>
          <w:rFonts w:hint="eastAsia"/>
          <w:bCs/>
        </w:rPr>
        <w:t>相的特性。例如，在气体温度较低且含有大量水蒸气时，NH</w:t>
      </w:r>
      <w:r>
        <w:rPr>
          <w:rFonts w:hint="eastAsia"/>
          <w:bCs/>
          <w:vertAlign w:val="subscript"/>
        </w:rPr>
        <w:t>3</w:t>
      </w:r>
      <w:r>
        <w:rPr>
          <w:rFonts w:hint="eastAsia"/>
          <w:bCs/>
        </w:rPr>
        <w:t>的生成更为明显</w:t>
      </w:r>
      <w:r>
        <w:rPr>
          <w:rFonts w:hint="eastAsia"/>
          <w:bCs/>
          <w:lang w:eastAsia="zh-CN"/>
        </w:rPr>
        <w:t>；</w:t>
      </w:r>
      <w:r>
        <w:rPr>
          <w:rFonts w:hint="eastAsia"/>
          <w:bCs/>
        </w:rPr>
        <w:t>而在气体温度较高且含水蒸气较少时，则更容易生成HCN</w:t>
      </w:r>
      <w:r>
        <w:rPr>
          <w:rFonts w:hint="eastAsia"/>
          <w:bCs/>
          <w:vertAlign w:val="superscript"/>
        </w:rPr>
        <w:fldChar w:fldCharType="begin"/>
      </w:r>
      <w:r>
        <w:rPr>
          <w:rFonts w:hint="eastAsia"/>
          <w:bCs/>
          <w:vertAlign w:val="superscript"/>
        </w:rPr>
        <w:instrText xml:space="preserve"> REF _Ref1951834375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[28]</w:t>
      </w:r>
      <w:r>
        <w:rPr>
          <w:rFonts w:hint="eastAsia"/>
          <w:bCs/>
          <w:vertAlign w:val="superscript"/>
        </w:rPr>
        <w:fldChar w:fldCharType="end"/>
      </w:r>
      <w:r>
        <w:rPr>
          <w:rFonts w:hint="eastAsia"/>
          <w:bCs/>
        </w:rPr>
        <w:t>。Guizani及其同事在其生物质快速热解研究中发现，CO</w:t>
      </w:r>
      <w:r>
        <w:rPr>
          <w:rFonts w:hint="eastAsia"/>
          <w:bCs/>
          <w:vertAlign w:val="subscript"/>
        </w:rPr>
        <w:t>2</w:t>
      </w:r>
      <w:r>
        <w:rPr>
          <w:rFonts w:hint="eastAsia"/>
          <w:bCs/>
        </w:rPr>
        <w:t>的热解气氛有利于氧气分解，从而提高半</w:t>
      </w:r>
      <w:r>
        <w:rPr>
          <w:rFonts w:hint="eastAsia"/>
          <w:bCs/>
          <w:lang w:eastAsia="zh-CN"/>
        </w:rPr>
        <w:t>焦</w:t>
      </w:r>
      <w:r>
        <w:rPr>
          <w:rFonts w:hint="eastAsia"/>
          <w:bCs/>
        </w:rPr>
        <w:t>中碳的含量。当热解温度升至600</w:t>
      </w:r>
      <w:r>
        <w:rPr>
          <w:rFonts w:hint="eastAsia"/>
          <w:bCs/>
          <w:lang w:val="en-US" w:eastAsia="zh-CN"/>
        </w:rPr>
        <w:t xml:space="preserve"> </w:t>
      </w:r>
      <w:r>
        <w:rPr>
          <w:rFonts w:hint="default" w:ascii="Times New Roman" w:hAnsi="Times New Roman" w:cs="Times New Roman"/>
          <w:bCs/>
        </w:rPr>
        <w:t>°</w:t>
      </w:r>
      <w:r>
        <w:rPr>
          <w:rFonts w:hint="eastAsia"/>
          <w:bCs/>
        </w:rPr>
        <w:t>C时，碳和氮的含量显著增加，相应地，半</w:t>
      </w:r>
      <w:r>
        <w:rPr>
          <w:rFonts w:hint="eastAsia"/>
          <w:bCs/>
          <w:lang w:eastAsia="zh-CN"/>
        </w:rPr>
        <w:t>焦</w:t>
      </w:r>
      <w:r>
        <w:rPr>
          <w:rFonts w:hint="eastAsia"/>
          <w:bCs/>
        </w:rPr>
        <w:t>中氮的含量显著降低</w:t>
      </w:r>
      <w:r>
        <w:rPr>
          <w:rFonts w:hint="eastAsia"/>
          <w:bCs/>
          <w:vertAlign w:val="superscript"/>
        </w:rPr>
        <w:fldChar w:fldCharType="begin"/>
      </w:r>
      <w:r>
        <w:rPr>
          <w:rFonts w:hint="eastAsia"/>
          <w:bCs/>
          <w:vertAlign w:val="superscript"/>
        </w:rPr>
        <w:instrText xml:space="preserve"> REF _Ref2082663718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[29]</w:t>
      </w:r>
      <w:r>
        <w:rPr>
          <w:rFonts w:hint="eastAsia"/>
          <w:bCs/>
          <w:vertAlign w:val="superscript"/>
        </w:rPr>
        <w:fldChar w:fldCharType="end"/>
      </w:r>
      <w:r>
        <w:rPr>
          <w:rFonts w:hint="eastAsia"/>
          <w:bCs/>
        </w:rPr>
        <w:t>。杨等人在纤维板砂光粉热解半焦的研究中</w:t>
      </w:r>
      <w:r>
        <w:rPr>
          <w:rFonts w:hint="eastAsia"/>
          <w:bCs/>
          <w:vertAlign w:val="superscript"/>
        </w:rPr>
        <w:fldChar w:fldCharType="begin"/>
      </w:r>
      <w:r>
        <w:rPr>
          <w:rFonts w:hint="eastAsia"/>
          <w:bCs/>
          <w:vertAlign w:val="superscript"/>
        </w:rPr>
        <w:instrText xml:space="preserve"> REF _Ref593890353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[30]</w:t>
      </w:r>
      <w:r>
        <w:rPr>
          <w:rFonts w:hint="eastAsia"/>
          <w:bCs/>
          <w:vertAlign w:val="superscript"/>
        </w:rPr>
        <w:fldChar w:fldCharType="end"/>
      </w:r>
      <w:r>
        <w:rPr>
          <w:rFonts w:hint="eastAsia"/>
          <w:bCs/>
        </w:rPr>
        <w:t xml:space="preserve">提升了热解温度，从300 </w:t>
      </w:r>
      <w:r>
        <w:rPr>
          <w:bCs/>
        </w:rPr>
        <w:t>°C</w:t>
      </w:r>
      <w:r>
        <w:rPr>
          <w:rFonts w:hint="eastAsia"/>
          <w:bCs/>
        </w:rPr>
        <w:t xml:space="preserve">升至400 </w:t>
      </w:r>
      <w:r>
        <w:rPr>
          <w:bCs/>
        </w:rPr>
        <w:t>°C</w:t>
      </w:r>
      <w:r>
        <w:rPr>
          <w:rFonts w:hint="eastAsia"/>
          <w:bCs/>
        </w:rPr>
        <w:t>之后，无论是在CO</w:t>
      </w:r>
      <w:r>
        <w:rPr>
          <w:rFonts w:hint="eastAsia"/>
          <w:bCs/>
          <w:vertAlign w:val="subscript"/>
        </w:rPr>
        <w:t>2</w:t>
      </w:r>
      <w:r>
        <w:rPr>
          <w:rFonts w:hint="eastAsia"/>
          <w:bCs/>
        </w:rPr>
        <w:t>气氛下还是在N</w:t>
      </w:r>
      <w:r>
        <w:rPr>
          <w:rFonts w:hint="eastAsia"/>
          <w:bCs/>
          <w:vertAlign w:val="subscript"/>
        </w:rPr>
        <w:t>2</w:t>
      </w:r>
      <w:r>
        <w:rPr>
          <w:rFonts w:hint="eastAsia"/>
          <w:bCs/>
        </w:rPr>
        <w:t>气氛下，半焦得率都减少了约20%，因此推测在这个阶段，纤维素的分解是导致半</w:t>
      </w:r>
      <w:r>
        <w:rPr>
          <w:rFonts w:hint="eastAsia"/>
          <w:bCs/>
          <w:lang w:eastAsia="zh-CN"/>
        </w:rPr>
        <w:t>焦</w:t>
      </w:r>
      <w:r>
        <w:rPr>
          <w:rFonts w:hint="eastAsia"/>
          <w:bCs/>
        </w:rPr>
        <w:t xml:space="preserve">产率快速降低的主要原因。在300-400 </w:t>
      </w:r>
      <w:r>
        <w:rPr>
          <w:bCs/>
        </w:rPr>
        <w:t>°C</w:t>
      </w:r>
      <w:r>
        <w:rPr>
          <w:rFonts w:hint="eastAsia"/>
          <w:bCs/>
        </w:rPr>
        <w:t>温度范围内，半</w:t>
      </w:r>
      <w:r>
        <w:rPr>
          <w:rFonts w:hint="eastAsia"/>
          <w:bCs/>
          <w:lang w:eastAsia="zh-CN"/>
        </w:rPr>
        <w:t>焦</w:t>
      </w:r>
      <w:r>
        <w:rPr>
          <w:rFonts w:hint="eastAsia"/>
          <w:bCs/>
        </w:rPr>
        <w:t>中氮的含量也显著降低，但是降低速率明显低于半</w:t>
      </w:r>
      <w:r>
        <w:rPr>
          <w:rFonts w:hint="eastAsia"/>
          <w:bCs/>
          <w:lang w:eastAsia="zh-CN"/>
        </w:rPr>
        <w:t>焦</w:t>
      </w:r>
      <w:r>
        <w:rPr>
          <w:rFonts w:hint="eastAsia"/>
          <w:bCs/>
        </w:rPr>
        <w:t xml:space="preserve">质量的损失速率。然而，进一步加热至600 </w:t>
      </w:r>
      <w:r>
        <w:rPr>
          <w:bCs/>
        </w:rPr>
        <w:t>°C</w:t>
      </w:r>
      <w:r>
        <w:rPr>
          <w:rFonts w:hint="eastAsia"/>
          <w:bCs/>
        </w:rPr>
        <w:t>后，半</w:t>
      </w:r>
      <w:r>
        <w:rPr>
          <w:rFonts w:hint="eastAsia"/>
          <w:bCs/>
          <w:lang w:eastAsia="zh-CN"/>
        </w:rPr>
        <w:t>焦</w:t>
      </w:r>
      <w:r>
        <w:rPr>
          <w:rFonts w:hint="eastAsia"/>
          <w:bCs/>
        </w:rPr>
        <w:t>产率和氮含量的降低速率明显减缓。此外，在N</w:t>
      </w:r>
      <w:r>
        <w:rPr>
          <w:rFonts w:hint="eastAsia"/>
          <w:bCs/>
          <w:vertAlign w:val="subscript"/>
        </w:rPr>
        <w:t>2</w:t>
      </w:r>
      <w:r>
        <w:rPr>
          <w:rFonts w:hint="eastAsia"/>
          <w:bCs/>
        </w:rPr>
        <w:t>气氛中，半</w:t>
      </w:r>
      <w:r>
        <w:rPr>
          <w:rFonts w:hint="eastAsia"/>
          <w:bCs/>
          <w:lang w:eastAsia="zh-CN"/>
        </w:rPr>
        <w:t>焦</w:t>
      </w:r>
      <w:r>
        <w:rPr>
          <w:rFonts w:hint="eastAsia"/>
          <w:bCs/>
        </w:rPr>
        <w:t>中氮的含量略高于CO</w:t>
      </w:r>
      <w:r>
        <w:rPr>
          <w:rFonts w:hint="eastAsia"/>
          <w:bCs/>
          <w:vertAlign w:val="subscript"/>
        </w:rPr>
        <w:t>2</w:t>
      </w:r>
      <w:r>
        <w:rPr>
          <w:rFonts w:hint="eastAsia"/>
          <w:bCs/>
        </w:rPr>
        <w:t>气氛，且氮含量的变化趋势也与CO</w:t>
      </w:r>
      <w:r>
        <w:rPr>
          <w:rFonts w:hint="eastAsia"/>
          <w:bCs/>
          <w:vertAlign w:val="subscript"/>
        </w:rPr>
        <w:t>2</w:t>
      </w:r>
      <w:r>
        <w:rPr>
          <w:rFonts w:hint="eastAsia"/>
          <w:bCs/>
        </w:rPr>
        <w:t>气氛不同。Zhan等人也得出了类似的结论</w:t>
      </w:r>
      <w:r>
        <w:rPr>
          <w:rFonts w:hint="eastAsia"/>
          <w:bCs/>
          <w:vertAlign w:val="superscript"/>
        </w:rPr>
        <w:fldChar w:fldCharType="begin"/>
      </w:r>
      <w:r>
        <w:rPr>
          <w:rFonts w:hint="eastAsia"/>
          <w:bCs/>
          <w:vertAlign w:val="superscript"/>
        </w:rPr>
        <w:instrText xml:space="preserve"> REF _Ref1870871352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[31]</w:t>
      </w:r>
      <w:r>
        <w:rPr>
          <w:rFonts w:hint="eastAsia"/>
          <w:bCs/>
          <w:vertAlign w:val="superscript"/>
        </w:rPr>
        <w:fldChar w:fldCharType="end"/>
      </w:r>
      <w:r>
        <w:rPr>
          <w:rFonts w:hint="eastAsia"/>
          <w:bCs/>
        </w:rPr>
        <w:t>：与CO</w:t>
      </w:r>
      <w:r>
        <w:rPr>
          <w:rFonts w:hint="eastAsia"/>
          <w:bCs/>
          <w:vertAlign w:val="subscript"/>
        </w:rPr>
        <w:t>2</w:t>
      </w:r>
      <w:r>
        <w:rPr>
          <w:rFonts w:hint="eastAsia"/>
          <w:bCs/>
        </w:rPr>
        <w:t>气氛相比，N</w:t>
      </w:r>
      <w:r>
        <w:rPr>
          <w:rFonts w:hint="eastAsia"/>
          <w:bCs/>
          <w:vertAlign w:val="subscript"/>
        </w:rPr>
        <w:t>2</w:t>
      </w:r>
      <w:r>
        <w:rPr>
          <w:rFonts w:hint="eastAsia"/>
          <w:bCs/>
        </w:rPr>
        <w:t>气氛中的热解在一定程度上抑制了氮转化为气相的过程。</w:t>
      </w:r>
    </w:p>
    <w:p>
      <w:pPr>
        <w:spacing w:line="440" w:lineRule="exact"/>
        <w:ind w:firstLine="480" w:firstLineChars="200"/>
        <w:rPr>
          <w:bCs/>
        </w:rPr>
      </w:pPr>
    </w:p>
    <w:p>
      <w:pPr>
        <w:pStyle w:val="4"/>
      </w:pPr>
      <w:bookmarkStart w:id="10" w:name="_Toc166234344"/>
      <w:bookmarkStart w:id="11" w:name="_Toc166450069"/>
      <w:r>
        <w:rPr>
          <w:rFonts w:hint="eastAsia"/>
        </w:rPr>
        <w:t>1.2.3  生物质内部成分对氮转化途径的影响</w:t>
      </w:r>
      <w:bookmarkEnd w:id="10"/>
      <w:bookmarkEnd w:id="11"/>
    </w:p>
    <w:p>
      <w:pPr>
        <w:spacing w:line="440" w:lineRule="exact"/>
        <w:ind w:firstLine="480" w:firstLineChars="200"/>
        <w:jc w:val="both"/>
        <w:rPr>
          <w:bCs/>
        </w:rPr>
      </w:pPr>
      <w:r>
        <w:rPr>
          <w:rFonts w:hint="eastAsia"/>
          <w:bCs/>
        </w:rPr>
        <w:t>生物质的主要组成部分是木质素、纤维素、半纤维素、蛋白质和淀粉。在热解过程中，它们之间发生相互作用，影响氮的迁移和转化。例如，糖与蛋白质或氨基酸</w:t>
      </w:r>
      <w:r>
        <w:rPr>
          <w:rFonts w:hint="eastAsia"/>
          <w:bCs/>
          <w:lang w:eastAsia="zh-CN"/>
        </w:rPr>
        <w:t>容易发生</w:t>
      </w:r>
      <w:r>
        <w:t>Maillard</w:t>
      </w:r>
      <w:r>
        <w:rPr>
          <w:rFonts w:hint="eastAsia"/>
          <w:bCs/>
        </w:rPr>
        <w:t>反应</w:t>
      </w:r>
      <w:r>
        <w:rPr>
          <w:rFonts w:hint="eastAsia"/>
          <w:bCs/>
          <w:vertAlign w:val="superscript"/>
        </w:rPr>
        <w:fldChar w:fldCharType="begin"/>
      </w:r>
      <w:r>
        <w:rPr>
          <w:rFonts w:hint="eastAsia"/>
          <w:bCs/>
          <w:vertAlign w:val="superscript"/>
        </w:rPr>
        <w:instrText xml:space="preserve"> REF _Ref1361724297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[32]</w:t>
      </w:r>
      <w:r>
        <w:rPr>
          <w:rFonts w:hint="eastAsia"/>
          <w:bCs/>
          <w:vertAlign w:val="superscript"/>
        </w:rPr>
        <w:fldChar w:fldCharType="end"/>
      </w:r>
      <w:r>
        <w:rPr>
          <w:rFonts w:hint="eastAsia"/>
          <w:bCs/>
        </w:rPr>
        <w:t>，促进了各种含氮化合物的形成。此外，木质素也容易与蛋白质或氨基酸在聚合反应中发生相互作用</w:t>
      </w:r>
      <w:r>
        <w:rPr>
          <w:rFonts w:hint="eastAsia"/>
          <w:bCs/>
          <w:vertAlign w:val="superscript"/>
        </w:rPr>
        <w:fldChar w:fldCharType="begin"/>
      </w:r>
      <w:r>
        <w:rPr>
          <w:rFonts w:hint="eastAsia"/>
          <w:bCs/>
          <w:vertAlign w:val="superscript"/>
        </w:rPr>
        <w:instrText xml:space="preserve"> REF _Ref2086092601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[33]</w:t>
      </w:r>
      <w:r>
        <w:rPr>
          <w:rFonts w:hint="eastAsia"/>
          <w:bCs/>
          <w:vertAlign w:val="superscript"/>
        </w:rPr>
        <w:fldChar w:fldCharType="end"/>
      </w:r>
      <w:r>
        <w:rPr>
          <w:rFonts w:hint="eastAsia"/>
          <w:bCs/>
        </w:rPr>
        <w:t>，</w:t>
      </w:r>
      <w:r>
        <w:rPr>
          <w:rFonts w:hint="eastAsia"/>
          <w:bCs/>
          <w:lang w:eastAsia="zh-CN"/>
        </w:rPr>
        <w:t>有助于</w:t>
      </w:r>
      <w:r>
        <w:rPr>
          <w:rFonts w:hint="eastAsia"/>
          <w:bCs/>
        </w:rPr>
        <w:t>氮在热油和热焦中的固定。不同的氨基酸在生物质蛋白质中也会发生相互作用，例如当谷氨酸和甘氨酸一起热解时，焦炭中的氮含量会增加；当谷氨酸和亮氨酸一起热解时，气相中的氮含量会减少，并主要以氨气（NH</w:t>
      </w:r>
      <w:r>
        <w:rPr>
          <w:rFonts w:hint="eastAsia"/>
          <w:bCs/>
          <w:vertAlign w:val="subscript"/>
        </w:rPr>
        <w:t>3</w:t>
      </w:r>
      <w:r>
        <w:rPr>
          <w:rFonts w:hint="eastAsia"/>
          <w:bCs/>
        </w:rPr>
        <w:t>）形式存在；当谷氨酸和脯氨酸一起热解时，气相中的氮含量中氢氰酸（HCN）的含量高于氨气；当谷氨酸和苯丙氨酸一起热解时，氢氰酸的生成温度降低且生成量显著下降</w:t>
      </w:r>
      <w:r>
        <w:rPr>
          <w:rFonts w:hint="eastAsia"/>
          <w:bCs/>
          <w:vertAlign w:val="superscript"/>
        </w:rPr>
        <w:fldChar w:fldCharType="begin"/>
      </w:r>
      <w:r>
        <w:rPr>
          <w:rFonts w:hint="eastAsia"/>
          <w:bCs/>
          <w:vertAlign w:val="superscript"/>
        </w:rPr>
        <w:instrText xml:space="preserve"> REF _Ref269060990 \r \h </w:instrText>
      </w:r>
      <w:r>
        <w:rPr>
          <w:bCs/>
          <w:vertAlign w:val="superscript"/>
        </w:rPr>
        <w:instrText xml:space="preserve"> \* MERGEFORMAT </w:instrText>
      </w:r>
      <w:r>
        <w:rPr>
          <w:rFonts w:hint="eastAsia"/>
          <w:bCs/>
          <w:vertAlign w:val="superscript"/>
        </w:rPr>
        <w:fldChar w:fldCharType="separate"/>
      </w:r>
      <w:r>
        <w:rPr>
          <w:rFonts w:hint="eastAsia"/>
          <w:bCs/>
          <w:vertAlign w:val="superscript"/>
        </w:rPr>
        <w:t>[34]</w:t>
      </w:r>
      <w:r>
        <w:rPr>
          <w:rFonts w:hint="eastAsia"/>
          <w:bCs/>
          <w:vertAlign w:val="superscript"/>
        </w:rPr>
        <w:fldChar w:fldCharType="end"/>
      </w:r>
      <w:r>
        <w:rPr>
          <w:rFonts w:hint="eastAsia"/>
          <w:bCs/>
        </w:rPr>
        <w:t>。值得注意的是，这种相互作用的存在将影响氮的迁移路径。由于不同生物质中组分含量的比例不同，相应热解产物的组成特性也会有所不同。</w:t>
      </w:r>
    </w:p>
    <w:p>
      <w:pPr>
        <w:spacing w:line="440" w:lineRule="exact"/>
        <w:ind w:firstLine="480" w:firstLineChars="200"/>
        <w:rPr>
          <w:bCs/>
        </w:rPr>
      </w:pPr>
    </w:p>
    <w:p>
      <w:pPr>
        <w:pStyle w:val="3"/>
      </w:pPr>
      <w:bookmarkStart w:id="12" w:name="_Toc166450070"/>
      <w:bookmarkStart w:id="13" w:name="_Toc166234345"/>
      <w:r>
        <w:rPr>
          <w:rFonts w:hint="eastAsia"/>
        </w:rPr>
        <w:t>1.</w:t>
      </w:r>
      <w:r>
        <w:t xml:space="preserve">3  </w:t>
      </w:r>
      <w:r>
        <w:rPr>
          <w:rFonts w:hint="eastAsia"/>
        </w:rPr>
        <w:t>研究内容及意义</w:t>
      </w:r>
      <w:bookmarkEnd w:id="12"/>
      <w:bookmarkEnd w:id="13"/>
    </w:p>
    <w:p>
      <w:pPr>
        <w:pStyle w:val="6"/>
        <w:spacing w:line="440" w:lineRule="exact"/>
        <w:ind w:firstLine="480" w:firstLineChars="200"/>
      </w:pPr>
      <w:r>
        <w:rPr>
          <w:rFonts w:hint="eastAsia"/>
        </w:rPr>
        <w:t>为贯彻新发展理念，</w:t>
      </w:r>
      <w:r>
        <w:rPr>
          <w:rFonts w:ascii="宋体" w:hAnsi="宋体" w:cs="宋体"/>
          <w:lang w:bidi="ar"/>
        </w:rPr>
        <w:t>注重解决人与自然和谐问题</w:t>
      </w:r>
      <w:r>
        <w:rPr>
          <w:rFonts w:hint="eastAsia" w:ascii="宋体" w:hAnsi="宋体" w:cs="宋体"/>
          <w:lang w:bidi="ar"/>
        </w:rPr>
        <w:t>，针对当前废弃木质资源利用率不足以及人造板原料供需矛盾等问题，亟需着手研究</w:t>
      </w:r>
      <w:r>
        <w:rPr>
          <w:rFonts w:ascii="宋体" w:hAnsi="宋体" w:cs="宋体"/>
          <w:lang w:bidi="ar"/>
        </w:rPr>
        <w:t>高效、经济</w:t>
      </w:r>
      <w:r>
        <w:rPr>
          <w:rFonts w:hint="eastAsia" w:ascii="宋体" w:hAnsi="宋体" w:cs="宋体"/>
          <w:lang w:bidi="ar"/>
        </w:rPr>
        <w:t>、</w:t>
      </w:r>
      <w:r>
        <w:rPr>
          <w:rFonts w:ascii="宋体" w:hAnsi="宋体" w:cs="宋体"/>
          <w:lang w:bidi="ar"/>
        </w:rPr>
        <w:t>环保</w:t>
      </w:r>
      <w:r>
        <w:rPr>
          <w:rFonts w:hint="eastAsia" w:ascii="宋体" w:hAnsi="宋体" w:cs="宋体"/>
          <w:lang w:bidi="ar"/>
        </w:rPr>
        <w:t>的废弃人造板处理方式。</w:t>
      </w:r>
      <w:r>
        <w:rPr>
          <w:rFonts w:hint="eastAsia"/>
        </w:rPr>
        <w:t>添加一定量的反应溶液并进行后续的水热处理可以迅速清除废弃板材中</w:t>
      </w:r>
      <w:r>
        <w:rPr>
          <w:rFonts w:hint="eastAsia"/>
          <w:lang w:eastAsia="zh-CN"/>
        </w:rPr>
        <w:t>脲醛</w:t>
      </w:r>
      <w:r>
        <w:rPr>
          <w:rFonts w:hint="eastAsia"/>
        </w:rPr>
        <w:t>树脂的残留物，降低可能的二次污染，最小化木质原料的损坏，这对处理含有</w:t>
      </w:r>
      <w:r>
        <w:rPr>
          <w:rFonts w:hint="eastAsia"/>
          <w:lang w:eastAsia="zh-CN"/>
        </w:rPr>
        <w:t>脲醛</w:t>
      </w:r>
      <w:r>
        <w:rPr>
          <w:rFonts w:hint="eastAsia"/>
        </w:rPr>
        <w:t>树脂的木质废料具有重要意义。</w:t>
      </w:r>
    </w:p>
    <w:p>
      <w:pPr>
        <w:pStyle w:val="86"/>
        <w:spacing w:beforeAutospacing="0" w:afterAutospacing="0" w:line="440" w:lineRule="exact"/>
        <w:ind w:firstLine="480" w:firstLineChars="200"/>
        <w:jc w:val="both"/>
      </w:pPr>
      <w:r>
        <w:rPr>
          <w:rFonts w:hint="default"/>
        </w:rPr>
        <w:t>目前，关于通过水热处理从木质废料中去除尿素-甲醛树脂的研究仍然不足。尽管从废弃木质板材中去除</w:t>
      </w:r>
      <w:r>
        <w:rPr>
          <w:rFonts w:hint="eastAsia"/>
          <w:lang w:eastAsia="zh-CN"/>
        </w:rPr>
        <w:t>脲醛</w:t>
      </w:r>
      <w:r>
        <w:rPr>
          <w:rFonts w:hint="default"/>
        </w:rPr>
        <w:t>树脂的过程受到各种反应参数的影响，但对于不同条件下反应温度、处理时间和试剂种类等参数对于去除效率和废弃木质板材中主要化学元素的化学特性的影响的理解几乎是空白的。考虑到水热反应系统的复杂性，清晰理解不同参数的相互作用对于揭示</w:t>
      </w:r>
      <w:r>
        <w:rPr>
          <w:rFonts w:hint="eastAsia"/>
          <w:lang w:eastAsia="zh-CN"/>
        </w:rPr>
        <w:t>脲醛</w:t>
      </w:r>
      <w:r>
        <w:rPr>
          <w:rFonts w:hint="default"/>
        </w:rPr>
        <w:t>树脂的水热分解机制至关重要。此外，对产品特性的分析还可以帮助研究从废弃木质板材中去除</w:t>
      </w:r>
      <w:r>
        <w:rPr>
          <w:rFonts w:hint="eastAsia"/>
          <w:lang w:eastAsia="zh-CN"/>
        </w:rPr>
        <w:t>脲醛</w:t>
      </w:r>
      <w:r>
        <w:rPr>
          <w:rFonts w:hint="default"/>
        </w:rPr>
        <w:t>树脂的机制。因此，在从废弃木质板材中去除</w:t>
      </w:r>
      <w:r>
        <w:rPr>
          <w:rFonts w:hint="eastAsia"/>
          <w:lang w:eastAsia="zh-CN"/>
        </w:rPr>
        <w:t>脲醛</w:t>
      </w:r>
      <w:r>
        <w:rPr>
          <w:rFonts w:hint="default"/>
        </w:rPr>
        <w:t>树脂的同时，可以提取更多优质木质原料并将其再次用于生产木质板材，通过研究水热处理后废弃木质板材中主要化学元素的结合特性的重组</w:t>
      </w:r>
      <w:r>
        <w:t>。</w:t>
      </w:r>
    </w:p>
    <w:p>
      <w:pPr>
        <w:pStyle w:val="6"/>
        <w:spacing w:line="440" w:lineRule="exact"/>
        <w:ind w:firstLine="480" w:firstLineChars="200"/>
        <w:rPr>
          <w:rFonts w:cs="宋体"/>
          <w:spacing w:val="-2"/>
          <w:szCs w:val="21"/>
        </w:rPr>
      </w:pPr>
      <w:r>
        <w:rPr>
          <w:rFonts w:ascii="宋体" w:hAnsi="宋体" w:cs="宋体"/>
          <w:lang w:bidi="ar"/>
        </w:rPr>
        <w:t>鉴于</w:t>
      </w:r>
      <w:r>
        <w:rPr>
          <w:rFonts w:hint="eastAsia" w:ascii="宋体" w:hAnsi="宋体" w:cs="宋体"/>
          <w:lang w:bidi="ar"/>
        </w:rPr>
        <w:t>当前木质资源资源化处理过程中，胶黏剂内氮的转化模式尚不清晰的现状</w:t>
      </w:r>
      <w:r>
        <w:rPr>
          <w:rFonts w:ascii="宋体" w:hAnsi="宋体" w:cs="宋体"/>
          <w:lang w:bidi="ar"/>
        </w:rPr>
        <w:t>，本文选取纤维板和</w:t>
      </w:r>
      <w:r>
        <w:rPr>
          <w:rFonts w:hint="eastAsia" w:ascii="宋体" w:hAnsi="宋体" w:cs="宋体"/>
          <w:lang w:bidi="ar"/>
        </w:rPr>
        <w:t>木糖</w:t>
      </w:r>
      <w:r>
        <w:rPr>
          <w:rFonts w:ascii="宋体" w:hAnsi="宋体" w:cs="宋体"/>
          <w:lang w:bidi="ar"/>
        </w:rPr>
        <w:t>为原料，</w:t>
      </w:r>
      <w:r>
        <w:rPr>
          <w:rFonts w:hint="eastAsia" w:cs="宋体"/>
          <w:spacing w:val="-2"/>
          <w:szCs w:val="21"/>
        </w:rPr>
        <w:t>研究木糖在水热处理过程中对氮的固集作用，以期分析木糖在水热反应过程对氮转化迁移特性的影响以及氮在固相产物中的含量变化与化学结构转变，并探究水热处理过程纤维板中氮的转化迁移路径与机理。在水热转化处理中，氮元素易从纤维板试样迁移到液相产物中。本文为了研究半纤维素对氮迁移转化的影响，本研究通过将半纤维素的单体木糖与纤维板水热液进行反应，探究了半纤维素在水热转化过程中对液相氮固集的作用机制，这对于理解纤维板水热转化过程中氮的迁移与转化具有重要意义。</w:t>
      </w:r>
    </w:p>
    <w:p>
      <w:pPr>
        <w:pStyle w:val="6"/>
        <w:spacing w:line="440" w:lineRule="exact"/>
        <w:ind w:firstLine="472" w:firstLineChars="200"/>
        <w:rPr>
          <w:rFonts w:cs="宋体"/>
          <w:spacing w:val="-2"/>
          <w:szCs w:val="21"/>
        </w:rPr>
      </w:pPr>
      <w:r>
        <w:rPr>
          <w:rFonts w:hint="eastAsia" w:cs="宋体"/>
          <w:spacing w:val="-2"/>
          <w:szCs w:val="21"/>
        </w:rPr>
        <w:t>基于以上目的，本课题的重点是研究木糖在水热处理过程中对纤维板中氮的固集作用。具体研究内容包括以下几个方面：</w:t>
      </w:r>
    </w:p>
    <w:p>
      <w:pPr>
        <w:pStyle w:val="6"/>
        <w:spacing w:line="440" w:lineRule="exact"/>
        <w:ind w:firstLine="472" w:firstLineChars="200"/>
        <w:rPr>
          <w:rFonts w:cs="宋体"/>
          <w:spacing w:val="-2"/>
          <w:szCs w:val="21"/>
        </w:rPr>
      </w:pPr>
      <w:r>
        <w:rPr>
          <w:rFonts w:hint="eastAsia" w:cs="宋体"/>
          <w:spacing w:val="-2"/>
          <w:szCs w:val="21"/>
        </w:rPr>
        <w:t>（1）研究富氮的生物质资源在不同水热处理条件下的热化学转化过程，重点关注氮在固相产物中的迁移和转化。</w:t>
      </w:r>
    </w:p>
    <w:p>
      <w:pPr>
        <w:pStyle w:val="6"/>
        <w:spacing w:line="440" w:lineRule="exact"/>
        <w:ind w:firstLine="472" w:firstLineChars="200"/>
        <w:rPr>
          <w:rFonts w:cs="宋体"/>
          <w:spacing w:val="-2"/>
          <w:szCs w:val="21"/>
        </w:rPr>
      </w:pPr>
      <w:r>
        <w:rPr>
          <w:rFonts w:hint="eastAsia" w:cs="宋体"/>
          <w:spacing w:val="-2"/>
          <w:szCs w:val="21"/>
        </w:rPr>
        <w:t>（2）掌握生物质水热处理实验的研究方法，熟悉元素分析、X射线光电子能谱、紫外-可见光分光度</w:t>
      </w:r>
      <w:r>
        <w:rPr>
          <w:rFonts w:hint="eastAsia"/>
          <w:lang w:bidi="ar"/>
        </w:rPr>
        <w:t>计</w:t>
      </w:r>
      <w:r>
        <w:rPr>
          <w:rFonts w:hint="eastAsia" w:cs="宋体"/>
          <w:spacing w:val="-2"/>
          <w:szCs w:val="21"/>
        </w:rPr>
        <w:t>等分析工具，用于表征氮元素和氮结构。通过实验研究不同水热处理条件下木糖</w:t>
      </w:r>
      <w:r>
        <w:rPr>
          <w:rFonts w:hint="eastAsia" w:cs="宋体"/>
          <w:spacing w:val="-2"/>
          <w:szCs w:val="21"/>
          <w:lang w:eastAsia="zh-CN"/>
        </w:rPr>
        <w:t>和</w:t>
      </w:r>
      <w:r>
        <w:rPr>
          <w:rFonts w:hint="eastAsia" w:cs="宋体"/>
          <w:spacing w:val="-2"/>
          <w:szCs w:val="21"/>
        </w:rPr>
        <w:t>纤维板水热液反应固相产物中氮含量变化和化学结构转变。</w:t>
      </w:r>
    </w:p>
    <w:p>
      <w:pPr>
        <w:pStyle w:val="6"/>
        <w:spacing w:line="440" w:lineRule="exact"/>
        <w:ind w:firstLine="472" w:firstLineChars="200"/>
        <w:rPr>
          <w:rFonts w:cs="宋体"/>
          <w:spacing w:val="-2"/>
          <w:szCs w:val="21"/>
        </w:rPr>
      </w:pPr>
      <w:r>
        <w:rPr>
          <w:rFonts w:hint="eastAsia" w:cs="宋体"/>
          <w:spacing w:val="-2"/>
          <w:szCs w:val="21"/>
        </w:rPr>
        <w:t>（3）总结分析木糖在水热反应过程中对氮转化迁移特性的影响，并试图解析水热处理过程中纤维板中氮的转化迁移路径和机理。</w:t>
      </w:r>
    </w:p>
    <w:p/>
    <w:p>
      <w:pPr>
        <w:pStyle w:val="6"/>
        <w:spacing w:before="120" w:beforeLines="50" w:after="120" w:afterLines="50"/>
        <w:ind w:firstLine="0" w:firstLineChars="0"/>
        <w:jc w:val="left"/>
      </w:pPr>
      <w:r>
        <w:drawing>
          <wp:inline distT="0" distB="0" distL="114300" distR="114300">
            <wp:extent cx="5864225" cy="5511800"/>
            <wp:effectExtent l="0" t="0" r="9525" b="1270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5864225" cy="5511800"/>
                    </a:xfrm>
                    <a:prstGeom prst="rect">
                      <a:avLst/>
                    </a:prstGeom>
                    <a:noFill/>
                    <a:ln>
                      <a:noFill/>
                    </a:ln>
                  </pic:spPr>
                </pic:pic>
              </a:graphicData>
            </a:graphic>
          </wp:inline>
        </w:drawing>
      </w:r>
    </w:p>
    <w:p>
      <w:pPr>
        <w:pStyle w:val="6"/>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1-1</w:t>
      </w:r>
      <w:r>
        <w:rPr>
          <w:rFonts w:hint="eastAsia"/>
          <w:sz w:val="21"/>
          <w:szCs w:val="21"/>
        </w:rPr>
        <w:t xml:space="preserve">  研究技术路线图</w:t>
      </w:r>
    </w:p>
    <w:p>
      <w:pPr>
        <w:pStyle w:val="6"/>
        <w:spacing w:line="240" w:lineRule="auto"/>
        <w:ind w:firstLine="0" w:firstLineChars="0"/>
        <w:jc w:val="center"/>
        <w:rPr>
          <w:sz w:val="21"/>
          <w:szCs w:val="21"/>
        </w:rPr>
      </w:pPr>
      <w:r>
        <w:rPr>
          <w:sz w:val="21"/>
          <w:szCs w:val="21"/>
        </w:rPr>
        <w:t>Fig.1</w:t>
      </w:r>
      <w:r>
        <w:rPr>
          <w:rFonts w:hint="eastAsia"/>
          <w:sz w:val="21"/>
          <w:szCs w:val="21"/>
          <w:lang w:val="en-US" w:eastAsia="zh-CN"/>
        </w:rPr>
        <w:t>-1</w:t>
      </w:r>
      <w:r>
        <w:rPr>
          <w:sz w:val="21"/>
          <w:szCs w:val="21"/>
        </w:rPr>
        <w:t xml:space="preserve">  Research Technological Roadmap</w:t>
      </w:r>
    </w:p>
    <w:p>
      <w:r>
        <w:rPr>
          <w:rFonts w:hint="eastAsia"/>
        </w:rPr>
        <w:br w:type="page"/>
      </w:r>
    </w:p>
    <w:p>
      <w:pPr>
        <w:pStyle w:val="2"/>
      </w:pPr>
      <w:bookmarkStart w:id="14" w:name="_Toc166450071"/>
      <w:bookmarkStart w:id="15" w:name="_Toc166234346"/>
      <w:r>
        <w:rPr>
          <w:rFonts w:hint="eastAsia"/>
        </w:rPr>
        <w:t>第二章  水热炭中氮的迁移特性研究</w:t>
      </w:r>
      <w:bookmarkEnd w:id="14"/>
      <w:bookmarkEnd w:id="15"/>
    </w:p>
    <w:p>
      <w:pPr>
        <w:pStyle w:val="3"/>
      </w:pPr>
      <w:bookmarkStart w:id="16" w:name="_Toc166234347"/>
      <w:bookmarkStart w:id="17" w:name="_Toc166450072"/>
      <w:r>
        <w:rPr>
          <w:rFonts w:hint="eastAsia"/>
        </w:rPr>
        <w:t>2.1  试验材料与方法</w:t>
      </w:r>
      <w:bookmarkEnd w:id="16"/>
      <w:bookmarkEnd w:id="17"/>
    </w:p>
    <w:p>
      <w:pPr>
        <w:pStyle w:val="4"/>
      </w:pPr>
      <w:bookmarkStart w:id="18" w:name="_Toc166450073"/>
      <w:bookmarkStart w:id="19" w:name="_Toc166234348"/>
      <w:r>
        <w:rPr>
          <w:rFonts w:hint="eastAsia"/>
        </w:rPr>
        <w:t>2.1.1  试验材料</w:t>
      </w:r>
      <w:bookmarkEnd w:id="18"/>
      <w:bookmarkEnd w:id="19"/>
    </w:p>
    <w:p>
      <w:pPr>
        <w:spacing w:line="440" w:lineRule="exact"/>
        <w:ind w:firstLine="398" w:firstLineChars="166"/>
        <w:jc w:val="both"/>
        <w:rPr>
          <w:bCs/>
        </w:rPr>
      </w:pPr>
      <w:r>
        <w:rPr>
          <w:rFonts w:hint="eastAsia"/>
          <w:bCs/>
        </w:rPr>
        <w:t>废弃纤维板，胶黏剂为脲醛树脂胶黏剂。原料纤维板样本经过粉碎、筛选，收集粒径在0-180 µm的实验粉末样品，干燥预处理后对所得到样品粉末进行元素分析，相关元素分析数据见表</w:t>
      </w:r>
      <w:r>
        <w:rPr>
          <w:rFonts w:hint="default"/>
          <w:bCs/>
          <w:lang w:val="en-US"/>
        </w:rPr>
        <w:t>2-</w:t>
      </w:r>
      <w:r>
        <w:rPr>
          <w:rFonts w:hint="eastAsia"/>
          <w:bCs/>
        </w:rPr>
        <w:t>1。</w:t>
      </w:r>
    </w:p>
    <w:p>
      <w:pPr>
        <w:spacing w:before="120" w:beforeLines="50"/>
        <w:jc w:val="center"/>
        <w:rPr>
          <w:sz w:val="21"/>
          <w:szCs w:val="21"/>
        </w:rPr>
      </w:pPr>
      <w:r>
        <w:rPr>
          <w:rFonts w:hint="eastAsia"/>
          <w:sz w:val="21"/>
          <w:szCs w:val="21"/>
        </w:rPr>
        <w:t>表</w:t>
      </w:r>
      <w:r>
        <w:rPr>
          <w:rFonts w:hint="eastAsia"/>
          <w:sz w:val="21"/>
          <w:szCs w:val="21"/>
          <w:lang w:val="en-US" w:eastAsia="zh-CN"/>
        </w:rPr>
        <w:t>2-</w:t>
      </w:r>
      <w:r>
        <w:rPr>
          <w:rFonts w:hint="eastAsia"/>
          <w:sz w:val="21"/>
          <w:szCs w:val="21"/>
        </w:rPr>
        <w:t>1  纤维板样本的元素分析</w:t>
      </w:r>
    </w:p>
    <w:p>
      <w:pPr>
        <w:jc w:val="center"/>
        <w:rPr>
          <w:sz w:val="21"/>
          <w:szCs w:val="21"/>
        </w:rPr>
      </w:pPr>
      <w:r>
        <w:rPr>
          <w:sz w:val="21"/>
          <w:szCs w:val="21"/>
        </w:rPr>
        <w:t>Tab.</w:t>
      </w:r>
      <w:r>
        <w:rPr>
          <w:rFonts w:hint="eastAsia"/>
          <w:sz w:val="21"/>
          <w:szCs w:val="21"/>
          <w:lang w:val="en-US" w:eastAsia="zh-CN"/>
        </w:rPr>
        <w:t>2-</w:t>
      </w:r>
      <w:r>
        <w:rPr>
          <w:sz w:val="21"/>
          <w:szCs w:val="21"/>
        </w:rPr>
        <w:t>1</w:t>
      </w:r>
      <w:r>
        <w:rPr>
          <w:rFonts w:hint="default"/>
          <w:sz w:val="21"/>
          <w:szCs w:val="21"/>
          <w:lang w:val="en-US"/>
        </w:rPr>
        <w:t xml:space="preserve"> </w:t>
      </w:r>
      <w:r>
        <w:rPr>
          <w:rFonts w:hint="eastAsia"/>
          <w:sz w:val="21"/>
          <w:szCs w:val="21"/>
        </w:rPr>
        <w:t xml:space="preserve"> </w:t>
      </w:r>
      <w:r>
        <w:rPr>
          <w:sz w:val="21"/>
          <w:szCs w:val="21"/>
        </w:rPr>
        <w:t>Elemental analysis of fiberboard samples</w:t>
      </w:r>
    </w:p>
    <w:p>
      <w:pPr>
        <w:jc w:val="center"/>
      </w:pPr>
    </w:p>
    <w:tbl>
      <w:tblPr>
        <w:tblStyle w:val="1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8"/>
        <w:gridCol w:w="1417"/>
        <w:gridCol w:w="1417"/>
        <w:gridCol w:w="1417"/>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single" w:color="auto" w:sz="12" w:space="0"/>
              <w:left w:val="nil"/>
              <w:bottom w:val="single" w:color="auto" w:sz="4" w:space="0"/>
              <w:right w:val="nil"/>
            </w:tcBorders>
            <w:vAlign w:val="center"/>
          </w:tcPr>
          <w:p>
            <w:pPr>
              <w:widowControl/>
              <w:jc w:val="center"/>
            </w:pPr>
          </w:p>
        </w:tc>
        <w:tc>
          <w:tcPr>
            <w:tcW w:w="1417" w:type="dxa"/>
            <w:tcBorders>
              <w:top w:val="single" w:color="auto" w:sz="12" w:space="0"/>
              <w:left w:val="nil"/>
              <w:bottom w:val="single" w:color="auto" w:sz="4" w:space="0"/>
              <w:right w:val="nil"/>
            </w:tcBorders>
            <w:vAlign w:val="center"/>
          </w:tcPr>
          <w:p>
            <w:pPr>
              <w:widowControl/>
              <w:jc w:val="center"/>
              <w:rPr>
                <w:rFonts w:hint="default"/>
                <w:vertAlign w:val="subscript"/>
                <w:lang w:val="en-US"/>
              </w:rPr>
            </w:pPr>
            <w:r>
              <w:t>C</w:t>
            </w:r>
            <w:r>
              <w:rPr>
                <w:rFonts w:hint="default"/>
                <w:lang w:val="en-US"/>
              </w:rPr>
              <w:t xml:space="preserve"> </w:t>
            </w:r>
            <w:r>
              <w:rPr>
                <w:rFonts w:hint="default"/>
                <w:vertAlign w:val="baseline"/>
                <w:lang w:val="en-US"/>
              </w:rPr>
              <w:t>(%)</w:t>
            </w:r>
          </w:p>
        </w:tc>
        <w:tc>
          <w:tcPr>
            <w:tcW w:w="1417" w:type="dxa"/>
            <w:tcBorders>
              <w:top w:val="single" w:color="auto" w:sz="12" w:space="0"/>
              <w:left w:val="nil"/>
              <w:bottom w:val="single" w:color="auto" w:sz="4" w:space="0"/>
              <w:right w:val="nil"/>
            </w:tcBorders>
            <w:vAlign w:val="center"/>
          </w:tcPr>
          <w:p>
            <w:pPr>
              <w:widowControl/>
              <w:jc w:val="center"/>
            </w:pPr>
            <w:r>
              <w:t>H</w:t>
            </w:r>
            <w:r>
              <w:rPr>
                <w:rFonts w:hint="default"/>
                <w:lang w:val="en-US"/>
              </w:rPr>
              <w:t xml:space="preserve"> </w:t>
            </w:r>
            <w:r>
              <w:rPr>
                <w:rFonts w:hint="default"/>
                <w:vertAlign w:val="baseline"/>
                <w:lang w:val="en-US"/>
              </w:rPr>
              <w:t>(%)</w:t>
            </w:r>
          </w:p>
        </w:tc>
        <w:tc>
          <w:tcPr>
            <w:tcW w:w="1417" w:type="dxa"/>
            <w:tcBorders>
              <w:top w:val="single" w:color="auto" w:sz="12" w:space="0"/>
              <w:left w:val="nil"/>
              <w:bottom w:val="single" w:color="auto" w:sz="4" w:space="0"/>
              <w:right w:val="nil"/>
            </w:tcBorders>
            <w:vAlign w:val="center"/>
          </w:tcPr>
          <w:p>
            <w:pPr>
              <w:widowControl/>
              <w:jc w:val="center"/>
            </w:pPr>
            <w:r>
              <w:t>N</w:t>
            </w:r>
            <w:r>
              <w:rPr>
                <w:rFonts w:hint="default"/>
                <w:lang w:val="en-US"/>
              </w:rPr>
              <w:t xml:space="preserve"> </w:t>
            </w:r>
            <w:r>
              <w:rPr>
                <w:rFonts w:hint="default"/>
                <w:vertAlign w:val="baseline"/>
                <w:lang w:val="en-US"/>
              </w:rPr>
              <w:t>(%)</w:t>
            </w:r>
          </w:p>
        </w:tc>
        <w:tc>
          <w:tcPr>
            <w:tcW w:w="1417" w:type="dxa"/>
            <w:tcBorders>
              <w:top w:val="single" w:color="auto" w:sz="12" w:space="0"/>
              <w:left w:val="nil"/>
              <w:bottom w:val="single" w:color="auto" w:sz="4" w:space="0"/>
              <w:right w:val="nil"/>
            </w:tcBorders>
            <w:vAlign w:val="center"/>
          </w:tcPr>
          <w:p>
            <w:pPr>
              <w:widowControl/>
              <w:jc w:val="center"/>
            </w:pPr>
            <w:r>
              <w:t>S</w:t>
            </w:r>
            <w:r>
              <w:rPr>
                <w:rFonts w:hint="default"/>
                <w:lang w:val="en-US"/>
              </w:rPr>
              <w:t xml:space="preserve"> </w:t>
            </w: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single" w:color="auto" w:sz="4" w:space="0"/>
              <w:left w:val="nil"/>
              <w:bottom w:val="nil"/>
              <w:right w:val="nil"/>
            </w:tcBorders>
            <w:vAlign w:val="center"/>
          </w:tcPr>
          <w:p>
            <w:pPr>
              <w:widowControl/>
              <w:jc w:val="center"/>
            </w:pPr>
            <w:r>
              <w:rPr>
                <w:rFonts w:hint="eastAsia"/>
              </w:rPr>
              <w:t>纤维板样本</w:t>
            </w:r>
            <w:r>
              <w:t>-</w:t>
            </w:r>
            <w:r>
              <w:rPr>
                <w:rFonts w:hint="eastAsia"/>
              </w:rPr>
              <w:t>1</w:t>
            </w:r>
          </w:p>
        </w:tc>
        <w:tc>
          <w:tcPr>
            <w:tcW w:w="1417" w:type="dxa"/>
            <w:tcBorders>
              <w:top w:val="single" w:color="auto" w:sz="4" w:space="0"/>
              <w:left w:val="nil"/>
              <w:bottom w:val="nil"/>
              <w:right w:val="nil"/>
            </w:tcBorders>
            <w:vAlign w:val="center"/>
          </w:tcPr>
          <w:p>
            <w:pPr>
              <w:widowControl/>
              <w:jc w:val="center"/>
            </w:pPr>
            <w:r>
              <w:rPr>
                <w:rFonts w:hint="eastAsia"/>
              </w:rPr>
              <w:t>46.76</w:t>
            </w:r>
          </w:p>
        </w:tc>
        <w:tc>
          <w:tcPr>
            <w:tcW w:w="1417" w:type="dxa"/>
            <w:tcBorders>
              <w:top w:val="single" w:color="auto" w:sz="4" w:space="0"/>
              <w:left w:val="nil"/>
              <w:bottom w:val="nil"/>
              <w:right w:val="nil"/>
            </w:tcBorders>
            <w:vAlign w:val="center"/>
          </w:tcPr>
          <w:p>
            <w:pPr>
              <w:widowControl/>
              <w:jc w:val="center"/>
            </w:pPr>
            <w:r>
              <w:rPr>
                <w:rFonts w:hint="eastAsia"/>
              </w:rPr>
              <w:t>5.94</w:t>
            </w:r>
          </w:p>
        </w:tc>
        <w:tc>
          <w:tcPr>
            <w:tcW w:w="1417" w:type="dxa"/>
            <w:tcBorders>
              <w:top w:val="single" w:color="auto" w:sz="4" w:space="0"/>
              <w:left w:val="nil"/>
              <w:bottom w:val="nil"/>
              <w:right w:val="nil"/>
            </w:tcBorders>
            <w:vAlign w:val="center"/>
          </w:tcPr>
          <w:p>
            <w:pPr>
              <w:widowControl/>
              <w:jc w:val="center"/>
            </w:pPr>
            <w:r>
              <w:rPr>
                <w:rFonts w:hint="eastAsia"/>
              </w:rPr>
              <w:t>5.85</w:t>
            </w:r>
          </w:p>
        </w:tc>
        <w:tc>
          <w:tcPr>
            <w:tcW w:w="1417" w:type="dxa"/>
            <w:tcBorders>
              <w:top w:val="single" w:color="auto" w:sz="4" w:space="0"/>
              <w:left w:val="nil"/>
              <w:bottom w:val="nil"/>
              <w:right w:val="nil"/>
            </w:tcBorders>
            <w:vAlign w:val="center"/>
          </w:tcPr>
          <w:p>
            <w:pPr>
              <w:widowControl/>
              <w:jc w:val="center"/>
            </w:pPr>
            <w:r>
              <w:rPr>
                <w:rFonts w:hint="eastAsia"/>
              </w:rPr>
              <w:t>0.45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nil"/>
              <w:left w:val="nil"/>
              <w:bottom w:val="nil"/>
              <w:right w:val="nil"/>
            </w:tcBorders>
            <w:vAlign w:val="center"/>
          </w:tcPr>
          <w:p>
            <w:pPr>
              <w:widowControl/>
              <w:jc w:val="center"/>
            </w:pPr>
            <w:r>
              <w:rPr>
                <w:rFonts w:hint="eastAsia"/>
              </w:rPr>
              <w:t>纤维板样本</w:t>
            </w:r>
            <w:r>
              <w:t>-</w:t>
            </w:r>
            <w:r>
              <w:rPr>
                <w:rFonts w:hint="eastAsia"/>
              </w:rPr>
              <w:t>2</w:t>
            </w:r>
          </w:p>
        </w:tc>
        <w:tc>
          <w:tcPr>
            <w:tcW w:w="1417" w:type="dxa"/>
            <w:tcBorders>
              <w:top w:val="nil"/>
              <w:left w:val="nil"/>
              <w:bottom w:val="nil"/>
              <w:right w:val="nil"/>
            </w:tcBorders>
            <w:vAlign w:val="center"/>
          </w:tcPr>
          <w:p>
            <w:pPr>
              <w:widowControl/>
              <w:jc w:val="center"/>
            </w:pPr>
            <w:r>
              <w:rPr>
                <w:rFonts w:hint="eastAsia"/>
              </w:rPr>
              <w:t>42.96</w:t>
            </w:r>
          </w:p>
        </w:tc>
        <w:tc>
          <w:tcPr>
            <w:tcW w:w="1417" w:type="dxa"/>
            <w:tcBorders>
              <w:top w:val="nil"/>
              <w:left w:val="nil"/>
              <w:bottom w:val="nil"/>
              <w:right w:val="nil"/>
            </w:tcBorders>
            <w:vAlign w:val="center"/>
          </w:tcPr>
          <w:p>
            <w:pPr>
              <w:widowControl/>
              <w:jc w:val="center"/>
            </w:pPr>
            <w:r>
              <w:rPr>
                <w:rFonts w:hint="eastAsia"/>
              </w:rPr>
              <w:t>5.72</w:t>
            </w:r>
          </w:p>
        </w:tc>
        <w:tc>
          <w:tcPr>
            <w:tcW w:w="1417" w:type="dxa"/>
            <w:tcBorders>
              <w:top w:val="nil"/>
              <w:left w:val="nil"/>
              <w:bottom w:val="nil"/>
              <w:right w:val="nil"/>
            </w:tcBorders>
            <w:vAlign w:val="center"/>
          </w:tcPr>
          <w:p>
            <w:pPr>
              <w:widowControl/>
              <w:jc w:val="center"/>
            </w:pPr>
            <w:r>
              <w:rPr>
                <w:rFonts w:hint="eastAsia"/>
              </w:rPr>
              <w:t>5.29</w:t>
            </w:r>
          </w:p>
        </w:tc>
        <w:tc>
          <w:tcPr>
            <w:tcW w:w="1417" w:type="dxa"/>
            <w:tcBorders>
              <w:top w:val="nil"/>
              <w:left w:val="nil"/>
              <w:bottom w:val="nil"/>
              <w:right w:val="nil"/>
            </w:tcBorders>
            <w:vAlign w:val="center"/>
          </w:tcPr>
          <w:p>
            <w:pPr>
              <w:widowControl/>
              <w:jc w:val="center"/>
            </w:pPr>
            <w:r>
              <w:rPr>
                <w:rFonts w:hint="eastAsia"/>
              </w:rPr>
              <w:t>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498" w:type="dxa"/>
            <w:tcBorders>
              <w:top w:val="nil"/>
              <w:left w:val="nil"/>
              <w:bottom w:val="single" w:color="auto" w:sz="12" w:space="0"/>
              <w:right w:val="nil"/>
            </w:tcBorders>
            <w:vAlign w:val="center"/>
          </w:tcPr>
          <w:p>
            <w:pPr>
              <w:widowControl/>
              <w:jc w:val="center"/>
            </w:pPr>
            <w:r>
              <w:rPr>
                <w:rFonts w:hint="eastAsia"/>
              </w:rPr>
              <w:t>样本</w:t>
            </w:r>
            <w:r>
              <w:t>-AVG</w:t>
            </w:r>
          </w:p>
        </w:tc>
        <w:tc>
          <w:tcPr>
            <w:tcW w:w="1417" w:type="dxa"/>
            <w:tcBorders>
              <w:top w:val="nil"/>
              <w:left w:val="nil"/>
              <w:bottom w:val="single" w:color="auto" w:sz="12" w:space="0"/>
              <w:right w:val="nil"/>
            </w:tcBorders>
            <w:vAlign w:val="center"/>
          </w:tcPr>
          <w:p>
            <w:pPr>
              <w:widowControl/>
              <w:jc w:val="center"/>
            </w:pPr>
            <w:r>
              <w:t>44.86</w:t>
            </w:r>
          </w:p>
        </w:tc>
        <w:tc>
          <w:tcPr>
            <w:tcW w:w="1417" w:type="dxa"/>
            <w:tcBorders>
              <w:top w:val="nil"/>
              <w:left w:val="nil"/>
              <w:bottom w:val="single" w:color="auto" w:sz="12" w:space="0"/>
              <w:right w:val="nil"/>
            </w:tcBorders>
            <w:vAlign w:val="center"/>
          </w:tcPr>
          <w:p>
            <w:pPr>
              <w:widowControl/>
              <w:jc w:val="center"/>
            </w:pPr>
            <w:r>
              <w:rPr>
                <w:rFonts w:hint="eastAsia"/>
              </w:rPr>
              <w:t>5.83</w:t>
            </w:r>
          </w:p>
        </w:tc>
        <w:tc>
          <w:tcPr>
            <w:tcW w:w="1417" w:type="dxa"/>
            <w:tcBorders>
              <w:top w:val="nil"/>
              <w:left w:val="nil"/>
              <w:bottom w:val="single" w:color="auto" w:sz="12" w:space="0"/>
              <w:right w:val="nil"/>
            </w:tcBorders>
            <w:vAlign w:val="center"/>
          </w:tcPr>
          <w:p>
            <w:pPr>
              <w:widowControl/>
              <w:jc w:val="center"/>
            </w:pPr>
            <w:r>
              <w:rPr>
                <w:rFonts w:hint="eastAsia"/>
              </w:rPr>
              <w:t>5.57</w:t>
            </w:r>
          </w:p>
        </w:tc>
        <w:tc>
          <w:tcPr>
            <w:tcW w:w="1417" w:type="dxa"/>
            <w:tcBorders>
              <w:top w:val="nil"/>
              <w:left w:val="nil"/>
              <w:bottom w:val="single" w:color="auto" w:sz="12" w:space="0"/>
              <w:right w:val="nil"/>
            </w:tcBorders>
            <w:vAlign w:val="center"/>
          </w:tcPr>
          <w:p>
            <w:pPr>
              <w:widowControl/>
              <w:jc w:val="center"/>
            </w:pPr>
            <w:r>
              <w:rPr>
                <w:rFonts w:hint="eastAsia"/>
              </w:rPr>
              <w:t>0.39</w:t>
            </w:r>
          </w:p>
        </w:tc>
      </w:tr>
    </w:tbl>
    <w:p>
      <w:pPr>
        <w:jc w:val="center"/>
        <w:rPr>
          <w:bCs/>
        </w:rPr>
      </w:pPr>
    </w:p>
    <w:p>
      <w:pPr>
        <w:jc w:val="center"/>
        <w:rPr>
          <w:bCs/>
        </w:rPr>
      </w:pPr>
    </w:p>
    <w:p>
      <w:pPr>
        <w:pStyle w:val="4"/>
      </w:pPr>
      <w:bookmarkStart w:id="20" w:name="_Toc166234349"/>
      <w:bookmarkStart w:id="21" w:name="_Toc166450074"/>
      <w:r>
        <w:rPr>
          <w:rFonts w:hint="eastAsia"/>
        </w:rPr>
        <w:t>2.1.2  试验设备</w:t>
      </w:r>
      <w:bookmarkEnd w:id="20"/>
      <w:bookmarkEnd w:id="21"/>
    </w:p>
    <w:p>
      <w:pPr>
        <w:pStyle w:val="6"/>
        <w:spacing w:line="440" w:lineRule="exact"/>
        <w:ind w:firstLine="480" w:firstLineChars="200"/>
        <w:rPr>
          <w:rFonts w:cs="宋体"/>
          <w:lang w:bidi="ar"/>
        </w:rPr>
      </w:pPr>
      <w:r>
        <w:rPr>
          <w:rFonts w:cs="宋体"/>
          <w:lang w:bidi="ar"/>
        </w:rPr>
        <w:t>（1） 粉碎机</w:t>
      </w:r>
    </w:p>
    <w:p>
      <w:pPr>
        <w:pStyle w:val="6"/>
        <w:spacing w:line="440" w:lineRule="exact"/>
        <w:ind w:firstLine="480" w:firstLineChars="200"/>
        <w:rPr>
          <w:rFonts w:cs="宋体"/>
          <w:lang w:bidi="ar"/>
        </w:rPr>
      </w:pPr>
      <w:r>
        <w:rPr>
          <w:rFonts w:cs="宋体"/>
          <w:lang w:bidi="ar"/>
        </w:rPr>
        <w:t>选用浙江省</w:t>
      </w:r>
      <w:r>
        <w:rPr>
          <w:rFonts w:hint="eastAsia" w:cs="宋体"/>
          <w:lang w:bidi="ar"/>
        </w:rPr>
        <w:t>武义海纳电气有限公司</w:t>
      </w:r>
      <w:r>
        <w:rPr>
          <w:rFonts w:cs="宋体"/>
          <w:lang w:bidi="ar"/>
        </w:rPr>
        <w:t>的</w:t>
      </w:r>
      <w:r>
        <w:rPr>
          <w:rFonts w:hint="eastAsia" w:cs="宋体"/>
          <w:lang w:bidi="ar"/>
        </w:rPr>
        <w:t>圣顺</w:t>
      </w:r>
      <w:r>
        <w:rPr>
          <w:rFonts w:cs="宋体"/>
          <w:lang w:bidi="ar"/>
        </w:rPr>
        <w:t>牌 S</w:t>
      </w:r>
      <w:r>
        <w:rPr>
          <w:rFonts w:hint="eastAsia" w:cs="宋体"/>
          <w:lang w:bidi="ar"/>
        </w:rPr>
        <w:t>S</w:t>
      </w:r>
      <w:r>
        <w:rPr>
          <w:rFonts w:cs="宋体"/>
          <w:lang w:bidi="ar"/>
        </w:rPr>
        <w:t>-</w:t>
      </w:r>
      <w:r>
        <w:rPr>
          <w:rFonts w:hint="eastAsia" w:cs="宋体"/>
          <w:lang w:bidi="ar"/>
        </w:rPr>
        <w:t>1022</w:t>
      </w:r>
      <w:r>
        <w:rPr>
          <w:rFonts w:cs="宋体"/>
          <w:lang w:bidi="ar"/>
        </w:rPr>
        <w:t xml:space="preserve"> 型高速多功能粉碎机，其参数为：电压 220 V，</w:t>
      </w:r>
      <w:r>
        <w:rPr>
          <w:rFonts w:hint="eastAsia" w:cs="宋体"/>
          <w:lang w:bidi="ar"/>
        </w:rPr>
        <w:t>额定</w:t>
      </w:r>
      <w:r>
        <w:rPr>
          <w:rFonts w:cs="宋体"/>
          <w:lang w:bidi="ar"/>
        </w:rPr>
        <w:t xml:space="preserve">功率 </w:t>
      </w:r>
      <w:r>
        <w:rPr>
          <w:rFonts w:hint="eastAsia" w:cs="宋体"/>
          <w:lang w:bidi="ar"/>
        </w:rPr>
        <w:t>18</w:t>
      </w:r>
      <w:r>
        <w:rPr>
          <w:rFonts w:cs="宋体"/>
          <w:lang w:bidi="ar"/>
        </w:rPr>
        <w:t>00 W，</w:t>
      </w:r>
      <w:r>
        <w:rPr>
          <w:rFonts w:hint="eastAsia" w:cs="宋体"/>
          <w:lang w:bidi="ar"/>
        </w:rPr>
        <w:t>峰值功率3200 W，</w:t>
      </w:r>
      <w:r>
        <w:rPr>
          <w:rFonts w:cs="宋体"/>
          <w:lang w:bidi="ar"/>
        </w:rPr>
        <w:t xml:space="preserve">电机转速 </w:t>
      </w:r>
      <w:r>
        <w:rPr>
          <w:rFonts w:hint="eastAsia" w:cs="宋体"/>
          <w:lang w:bidi="ar"/>
        </w:rPr>
        <w:t>32</w:t>
      </w:r>
      <w:r>
        <w:rPr>
          <w:rFonts w:cs="宋体"/>
          <w:lang w:bidi="ar"/>
        </w:rPr>
        <w:t xml:space="preserve">000 </w:t>
      </w:r>
      <w:r>
        <w:rPr>
          <w:rFonts w:hint="default" w:cs="宋体"/>
          <w:lang w:val="en-US" w:bidi="ar"/>
        </w:rPr>
        <w:t>rpm</w:t>
      </w:r>
      <w:r>
        <w:rPr>
          <w:rFonts w:cs="宋体"/>
          <w:lang w:bidi="ar"/>
        </w:rPr>
        <w:t>/</w:t>
      </w:r>
      <w:r>
        <w:rPr>
          <w:rFonts w:hint="default" w:cs="宋体"/>
          <w:lang w:val="en-US" w:bidi="ar"/>
        </w:rPr>
        <w:t>min</w:t>
      </w:r>
      <w:r>
        <w:rPr>
          <w:rFonts w:cs="宋体"/>
          <w:lang w:bidi="ar"/>
        </w:rPr>
        <w:t xml:space="preserve">，粉碎程度 </w:t>
      </w:r>
      <w:r>
        <w:rPr>
          <w:rFonts w:hint="eastAsia" w:cs="宋体"/>
          <w:lang w:bidi="ar"/>
        </w:rPr>
        <w:t>3</w:t>
      </w:r>
      <w:r>
        <w:rPr>
          <w:rFonts w:cs="宋体"/>
          <w:lang w:bidi="ar"/>
        </w:rPr>
        <w:t xml:space="preserve">0~300 目，工作时间 </w:t>
      </w:r>
      <w:r>
        <w:rPr>
          <w:rFonts w:hint="eastAsia" w:cs="宋体"/>
          <w:lang w:bidi="ar"/>
        </w:rPr>
        <w:t>0-</w:t>
      </w:r>
      <w:r>
        <w:rPr>
          <w:rFonts w:cs="宋体"/>
          <w:lang w:bidi="ar"/>
        </w:rPr>
        <w:t xml:space="preserve">5 </w:t>
      </w:r>
      <w:r>
        <w:rPr>
          <w:rFonts w:hint="default" w:cs="宋体"/>
          <w:lang w:val="en-US" w:bidi="ar"/>
        </w:rPr>
        <w:t>min</w:t>
      </w:r>
      <w:r>
        <w:rPr>
          <w:rFonts w:cs="宋体"/>
          <w:lang w:bidi="ar"/>
        </w:rPr>
        <w:t>，间隔时间 10</w:t>
      </w:r>
      <w:r>
        <w:rPr>
          <w:rFonts w:hint="eastAsia" w:cs="宋体"/>
          <w:lang w:bidi="ar"/>
        </w:rPr>
        <w:t>-20</w:t>
      </w:r>
      <w:r>
        <w:rPr>
          <w:rFonts w:cs="宋体"/>
          <w:lang w:bidi="ar"/>
        </w:rPr>
        <w:t xml:space="preserve"> </w:t>
      </w:r>
      <w:r>
        <w:rPr>
          <w:rFonts w:hint="default" w:cs="宋体"/>
          <w:lang w:val="en-US" w:bidi="ar"/>
        </w:rPr>
        <w:t>min</w:t>
      </w:r>
      <w:r>
        <w:rPr>
          <w:rFonts w:cs="宋体"/>
          <w:lang w:bidi="ar"/>
        </w:rPr>
        <w:t>。</w:t>
      </w:r>
    </w:p>
    <w:p>
      <w:pPr>
        <w:pStyle w:val="6"/>
        <w:spacing w:line="440" w:lineRule="exact"/>
        <w:ind w:firstLine="480" w:firstLineChars="200"/>
        <w:rPr>
          <w:rFonts w:cs="宋体"/>
          <w:lang w:bidi="ar"/>
        </w:rPr>
      </w:pPr>
      <w:r>
        <w:rPr>
          <w:rFonts w:cs="宋体"/>
          <w:lang w:bidi="ar"/>
        </w:rPr>
        <w:t>（2） 电动振筛机</w:t>
      </w:r>
    </w:p>
    <w:p>
      <w:pPr>
        <w:pStyle w:val="6"/>
        <w:spacing w:line="440" w:lineRule="exact"/>
        <w:ind w:firstLine="480" w:firstLineChars="200"/>
        <w:rPr>
          <w:rFonts w:cs="宋体"/>
          <w:lang w:bidi="ar"/>
        </w:rPr>
      </w:pPr>
      <w:r>
        <w:rPr>
          <w:rFonts w:cs="宋体"/>
          <w:lang w:bidi="ar"/>
        </w:rPr>
        <w:t>选用浙江省绍兴上虞道墟越州土工仪器</w:t>
      </w:r>
      <w:r>
        <w:rPr>
          <w:rFonts w:hint="eastAsia" w:cs="宋体"/>
          <w:lang w:eastAsia="zh-CN" w:bidi="ar"/>
        </w:rPr>
        <w:t>厂</w:t>
      </w:r>
      <w:r>
        <w:rPr>
          <w:rFonts w:cs="宋体"/>
          <w:lang w:bidi="ar"/>
        </w:rPr>
        <w:t xml:space="preserve"> 8411 电动振筛机，</w:t>
      </w:r>
      <w:r>
        <w:rPr>
          <w:rFonts w:hint="default" w:cs="宋体"/>
          <w:lang w:bidi="ar"/>
        </w:rPr>
        <w:t>主要参数</w:t>
      </w:r>
      <w:r>
        <w:rPr>
          <w:rFonts w:hint="eastAsia" w:cs="宋体"/>
          <w:lang w:eastAsia="zh-CN" w:bidi="ar"/>
        </w:rPr>
        <w:t>有</w:t>
      </w:r>
      <w:r>
        <w:rPr>
          <w:rFonts w:cs="宋体"/>
          <w:lang w:bidi="ar"/>
        </w:rPr>
        <w:t>：</w:t>
      </w:r>
      <w:r>
        <w:rPr>
          <w:rFonts w:hint="eastAsia" w:cs="宋体"/>
          <w:lang w:eastAsia="zh-CN" w:bidi="ar"/>
        </w:rPr>
        <w:t>电机</w:t>
      </w:r>
      <w:r>
        <w:rPr>
          <w:rFonts w:cs="宋体"/>
          <w:lang w:bidi="ar"/>
        </w:rPr>
        <w:t xml:space="preserve">转速 1400 </w:t>
      </w:r>
      <w:r>
        <w:rPr>
          <w:rFonts w:hint="default" w:cs="宋体"/>
          <w:lang w:val="en-US" w:bidi="ar"/>
        </w:rPr>
        <w:t>rpm</w:t>
      </w:r>
      <w:r>
        <w:rPr>
          <w:rFonts w:cs="宋体"/>
          <w:lang w:bidi="ar"/>
        </w:rPr>
        <w:t>/</w:t>
      </w:r>
      <w:r>
        <w:rPr>
          <w:rFonts w:hint="default" w:cs="宋体"/>
          <w:lang w:val="en-US" w:bidi="ar"/>
        </w:rPr>
        <w:t>min</w:t>
      </w:r>
      <w:r>
        <w:rPr>
          <w:rFonts w:cs="宋体"/>
          <w:lang w:bidi="ar"/>
        </w:rPr>
        <w:t>，电压 220 V，直径 200 mm，功率 120 W，重量 20 kg。</w:t>
      </w:r>
    </w:p>
    <w:p>
      <w:pPr>
        <w:pStyle w:val="6"/>
        <w:numPr>
          <w:ilvl w:val="255"/>
          <w:numId w:val="0"/>
        </w:numPr>
        <w:spacing w:line="440" w:lineRule="exact"/>
        <w:ind w:firstLine="480" w:firstLineChars="200"/>
        <w:rPr>
          <w:rFonts w:cs="宋体"/>
          <w:lang w:bidi="ar"/>
        </w:rPr>
      </w:pPr>
      <w:r>
        <w:rPr>
          <w:rFonts w:hint="eastAsia" w:cs="宋体"/>
          <w:lang w:bidi="ar"/>
        </w:rPr>
        <w:t>（3）</w:t>
      </w:r>
      <w:r>
        <w:rPr>
          <w:rFonts w:cs="宋体"/>
          <w:lang w:bidi="ar"/>
        </w:rPr>
        <w:t>微型机械搅拌高压釜</w:t>
      </w:r>
    </w:p>
    <w:p>
      <w:pPr>
        <w:pStyle w:val="6"/>
        <w:numPr>
          <w:ilvl w:val="255"/>
          <w:numId w:val="0"/>
        </w:numPr>
        <w:spacing w:line="440" w:lineRule="exact"/>
        <w:ind w:firstLine="480" w:firstLineChars="200"/>
        <w:rPr>
          <w:rFonts w:cs="宋体"/>
          <w:lang w:bidi="ar"/>
        </w:rPr>
      </w:pPr>
      <w:r>
        <w:rPr>
          <w:rFonts w:hint="eastAsia" w:cs="宋体"/>
          <w:lang w:bidi="ar"/>
        </w:rPr>
        <w:t>选用</w:t>
      </w:r>
      <w:r>
        <w:rPr>
          <w:rFonts w:cs="宋体"/>
          <w:lang w:bidi="ar"/>
        </w:rPr>
        <w:t>南京正信仪器有限公司</w:t>
      </w:r>
      <w:r>
        <w:rPr>
          <w:rFonts w:hint="eastAsia" w:cs="宋体"/>
          <w:lang w:bidi="ar"/>
        </w:rPr>
        <w:t xml:space="preserve">的 K-PSA-100ML </w:t>
      </w:r>
      <w:r>
        <w:rPr>
          <w:rFonts w:cs="宋体"/>
          <w:lang w:bidi="ar"/>
        </w:rPr>
        <w:t>高压反应釜</w:t>
      </w:r>
      <w:r>
        <w:rPr>
          <w:rFonts w:hint="eastAsia" w:cs="宋体"/>
          <w:lang w:bidi="ar"/>
        </w:rPr>
        <w:t xml:space="preserve">，其参数为：釜体材质SUS 316L不锈钢，温度0-600 </w:t>
      </w:r>
      <w:r>
        <w:rPr>
          <w:rFonts w:cs="宋体"/>
          <w:lang w:bidi="ar"/>
        </w:rPr>
        <w:t>°C</w:t>
      </w:r>
      <w:r>
        <w:rPr>
          <w:rFonts w:hint="eastAsia" w:cs="宋体"/>
          <w:lang w:bidi="ar"/>
        </w:rPr>
        <w:t>，压力 0-20 MPa。</w:t>
      </w:r>
    </w:p>
    <w:p>
      <w:pPr>
        <w:pStyle w:val="6"/>
        <w:numPr>
          <w:ilvl w:val="255"/>
          <w:numId w:val="0"/>
        </w:numPr>
        <w:spacing w:line="440" w:lineRule="exact"/>
        <w:ind w:firstLine="480" w:firstLineChars="200"/>
        <w:rPr>
          <w:rFonts w:cs="宋体"/>
          <w:lang w:bidi="ar"/>
        </w:rPr>
      </w:pPr>
      <w:r>
        <w:rPr>
          <w:rFonts w:hint="eastAsia" w:cs="宋体"/>
          <w:lang w:bidi="ar"/>
        </w:rPr>
        <w:t>（4）真空泵</w:t>
      </w:r>
    </w:p>
    <w:p>
      <w:pPr>
        <w:pStyle w:val="6"/>
        <w:spacing w:line="440" w:lineRule="exact"/>
        <w:ind w:firstLine="480" w:firstLineChars="200"/>
        <w:rPr>
          <w:rFonts w:cs="宋体"/>
        </w:rPr>
      </w:pPr>
      <w:r>
        <w:rPr>
          <w:rFonts w:hint="eastAsia" w:cs="宋体"/>
          <w:lang w:bidi="ar"/>
        </w:rPr>
        <w:t>选用郑州科泰实验设备</w:t>
      </w:r>
      <w:r>
        <w:rPr>
          <w:rFonts w:cs="宋体"/>
          <w:lang w:bidi="ar"/>
        </w:rPr>
        <w:t>有限公司</w:t>
      </w:r>
      <w:r>
        <w:rPr>
          <w:rFonts w:hint="eastAsia" w:cs="宋体"/>
          <w:lang w:bidi="ar"/>
        </w:rPr>
        <w:t>的 SHK-IIIS 循环水式多用真空泵，其参数为：功率 180 W，流量80 L</w:t>
      </w:r>
      <w:r>
        <w:rPr>
          <w:rFonts w:cs="宋体"/>
          <w:lang w:bidi="ar"/>
        </w:rPr>
        <w:t>/min</w:t>
      </w:r>
      <w:r>
        <w:rPr>
          <w:rFonts w:hint="eastAsia" w:cs="宋体"/>
          <w:lang w:bidi="ar"/>
        </w:rPr>
        <w:t>，扬程 10 m，最大真空度0.098 MPa，单头抽气量 10 L</w:t>
      </w:r>
      <w:r>
        <w:rPr>
          <w:rFonts w:cs="宋体"/>
          <w:lang w:bidi="ar"/>
        </w:rPr>
        <w:t>/min</w:t>
      </w:r>
      <w:r>
        <w:rPr>
          <w:rFonts w:hint="eastAsia" w:cs="宋体"/>
          <w:lang w:bidi="ar"/>
        </w:rPr>
        <w:t>。</w:t>
      </w:r>
    </w:p>
    <w:p>
      <w:pPr>
        <w:pStyle w:val="6"/>
        <w:numPr>
          <w:ilvl w:val="255"/>
          <w:numId w:val="0"/>
        </w:numPr>
        <w:spacing w:line="440" w:lineRule="exact"/>
        <w:ind w:firstLine="480" w:firstLineChars="200"/>
      </w:pPr>
      <w:r>
        <w:rPr>
          <w:rFonts w:hint="eastAsia"/>
        </w:rPr>
        <w:t>（5）电子天平</w:t>
      </w:r>
    </w:p>
    <w:p>
      <w:pPr>
        <w:pStyle w:val="6"/>
        <w:spacing w:line="440" w:lineRule="exact"/>
        <w:ind w:firstLine="480" w:firstLineChars="200"/>
        <w:rPr>
          <w:rFonts w:cs="宋体"/>
          <w:lang w:bidi="ar"/>
        </w:rPr>
      </w:pPr>
      <w:r>
        <w:rPr>
          <w:rFonts w:hint="eastAsia"/>
        </w:rPr>
        <w:t>选用赛多利斯PRACTUM124-1CN电子天平，其参数为：称重能力 120 g，可读性 0.1 mg，可重复性 0.1 mg，</w:t>
      </w:r>
      <w:r>
        <w:rPr>
          <w:rFonts w:cs="宋体"/>
          <w:lang w:bidi="ar"/>
        </w:rPr>
        <w:t>称重盘规格</w:t>
      </w:r>
      <w:r>
        <w:rPr>
          <w:rFonts w:hint="eastAsia" w:cs="宋体"/>
          <w:lang w:bidi="ar"/>
        </w:rPr>
        <w:t xml:space="preserve"> </w:t>
      </w:r>
      <w:r>
        <w:rPr>
          <w:lang w:bidi="ar"/>
        </w:rPr>
        <w:t>Φ</w:t>
      </w:r>
      <w:r>
        <w:rPr>
          <w:rFonts w:hint="eastAsia"/>
          <w:lang w:bidi="ar"/>
        </w:rPr>
        <w:t xml:space="preserve"> </w:t>
      </w:r>
      <w:r>
        <w:rPr>
          <w:rFonts w:cs="宋体"/>
          <w:lang w:bidi="ar"/>
        </w:rPr>
        <w:t>90</w:t>
      </w:r>
      <w:r>
        <w:rPr>
          <w:rFonts w:hint="eastAsia" w:cs="宋体"/>
          <w:lang w:bidi="ar"/>
        </w:rPr>
        <w:t>。</w:t>
      </w:r>
    </w:p>
    <w:p>
      <w:pPr>
        <w:rPr>
          <w:rFonts w:hint="eastAsia"/>
          <w:lang w:bidi="ar"/>
        </w:rPr>
      </w:pPr>
    </w:p>
    <w:p>
      <w:pPr>
        <w:pStyle w:val="4"/>
      </w:pPr>
      <w:bookmarkStart w:id="22" w:name="_Toc166234350"/>
      <w:bookmarkStart w:id="23" w:name="_Toc166450075"/>
      <w:r>
        <w:rPr>
          <w:rFonts w:hint="eastAsia"/>
        </w:rPr>
        <w:t>2.1.3  水热液的制备</w:t>
      </w:r>
      <w:bookmarkEnd w:id="22"/>
      <w:bookmarkEnd w:id="23"/>
    </w:p>
    <w:p>
      <w:pPr>
        <w:pStyle w:val="6"/>
        <w:spacing w:line="440" w:lineRule="exact"/>
        <w:ind w:firstLine="480" w:firstLineChars="200"/>
        <w:rPr>
          <w:rFonts w:cs="宋体"/>
          <w:lang w:bidi="ar"/>
        </w:rPr>
      </w:pPr>
      <w:r>
        <w:rPr>
          <w:rFonts w:hint="eastAsia" w:cs="宋体"/>
          <w:lang w:bidi="ar"/>
        </w:rPr>
        <w:t>使用大亚人造板集团（镇江）生产的纤维板作为实验原料，将大块纤维板采用台锯分割成细长条状，再使用台钳搭配活动扳手将其掰碎成小块，以便加入粉碎机进行下一步操作。使用</w:t>
      </w:r>
      <w:r>
        <w:rPr>
          <w:rFonts w:cs="宋体"/>
          <w:lang w:bidi="ar"/>
        </w:rPr>
        <w:t>高速多功能粉碎机将纤维板试样</w:t>
      </w:r>
      <w:r>
        <w:rPr>
          <w:rFonts w:hint="eastAsia" w:cs="宋体"/>
          <w:lang w:bidi="ar"/>
        </w:rPr>
        <w:t>少量多次</w:t>
      </w:r>
      <w:r>
        <w:rPr>
          <w:rFonts w:cs="宋体"/>
          <w:lang w:bidi="ar"/>
        </w:rPr>
        <w:t>粉碎，</w:t>
      </w:r>
      <w:r>
        <w:rPr>
          <w:rFonts w:hint="eastAsia" w:cs="宋体"/>
          <w:lang w:bidi="ar"/>
        </w:rPr>
        <w:t>单次粉碎1-2 min，粉碎后将内容物倒入筛盘，使用电动震筛机筛</w:t>
      </w:r>
      <w:r>
        <w:rPr>
          <w:rFonts w:cs="宋体"/>
          <w:lang w:bidi="ar"/>
        </w:rPr>
        <w:t>选</w:t>
      </w:r>
      <w:r>
        <w:rPr>
          <w:rFonts w:hint="eastAsia" w:cs="宋体"/>
          <w:lang w:bidi="ar"/>
        </w:rPr>
        <w:t>出</w:t>
      </w:r>
      <w:r>
        <w:rPr>
          <w:rFonts w:cs="宋体"/>
          <w:lang w:bidi="ar"/>
        </w:rPr>
        <w:t>80目以下部分</w:t>
      </w:r>
      <w:r>
        <w:rPr>
          <w:rFonts w:hint="eastAsia" w:cs="宋体"/>
          <w:lang w:bidi="ar"/>
        </w:rPr>
        <w:t>纤维板粉末，收集</w:t>
      </w:r>
      <w:r>
        <w:rPr>
          <w:rFonts w:cs="宋体"/>
          <w:lang w:bidi="ar"/>
        </w:rPr>
        <w:t>作为</w:t>
      </w:r>
      <w:r>
        <w:rPr>
          <w:rFonts w:hint="eastAsia" w:cs="宋体"/>
          <w:lang w:bidi="ar"/>
        </w:rPr>
        <w:t>后续</w:t>
      </w:r>
      <w:r>
        <w:rPr>
          <w:rFonts w:cs="宋体"/>
          <w:lang w:bidi="ar"/>
        </w:rPr>
        <w:t>试验样品，</w:t>
      </w:r>
      <w:r>
        <w:rPr>
          <w:rFonts w:hint="eastAsia" w:cs="宋体"/>
          <w:lang w:bidi="ar"/>
        </w:rPr>
        <w:t xml:space="preserve">将80目以上的粉末及大块未粉碎纤维板残渣与新加入的纤维板碎片混合，再次进行下一次的粉碎过程，循环往复进行磨粉过程。取出少量80目以下纤维板粉末装入不锈钢碗，裁剪合适大小的铝箔扎上一定透气孔覆于碗口，置于80 </w:t>
      </w:r>
      <w:r>
        <w:rPr>
          <w:rFonts w:cs="宋体"/>
          <w:lang w:bidi="ar"/>
        </w:rPr>
        <w:t>°C的烘箱中干燥至恒重。</w:t>
      </w:r>
    </w:p>
    <w:p>
      <w:pPr>
        <w:pStyle w:val="86"/>
        <w:spacing w:beforeAutospacing="0" w:afterAutospacing="0" w:line="440" w:lineRule="exact"/>
        <w:ind w:firstLine="480" w:firstLineChars="200"/>
        <w:jc w:val="both"/>
      </w:pPr>
      <w:r>
        <w:rPr>
          <w:rFonts w:hint="eastAsia"/>
        </w:rPr>
        <w:t>使用电子天平称取</w:t>
      </w:r>
      <w:r>
        <w:t>干燥后</w:t>
      </w:r>
      <w:r>
        <w:rPr>
          <w:rFonts w:hint="eastAsia"/>
        </w:rPr>
        <w:t>的</w:t>
      </w:r>
      <w:r>
        <w:t>纤维板</w:t>
      </w:r>
      <w:r>
        <w:rPr>
          <w:rFonts w:hint="eastAsia"/>
        </w:rPr>
        <w:t>粉末4.5</w:t>
      </w:r>
      <w:r>
        <w:t xml:space="preserve"> g</w:t>
      </w:r>
      <w:r>
        <w:rPr>
          <w:rFonts w:hint="eastAsia"/>
        </w:rPr>
        <w:t>，</w:t>
      </w:r>
      <w:r>
        <w:t>放入微型机械高压搅拌釜中，</w:t>
      </w:r>
      <w:r>
        <w:rPr>
          <w:rFonts w:hint="eastAsia"/>
        </w:rPr>
        <w:t>使用移液枪</w:t>
      </w:r>
      <w:r>
        <w:t>加入</w:t>
      </w:r>
      <w:r>
        <w:rPr>
          <w:rFonts w:hint="eastAsia"/>
        </w:rPr>
        <w:t>40</w:t>
      </w:r>
      <w:r>
        <w:t xml:space="preserve"> mL超纯水</w:t>
      </w:r>
      <w:r>
        <w:rPr>
          <w:rFonts w:hint="eastAsia"/>
        </w:rPr>
        <w:t>。随后</w:t>
      </w:r>
      <w:r>
        <w:t>使用超声波和聚四氟乙烯棒搅拌5 min</w:t>
      </w:r>
      <w:r>
        <w:rPr>
          <w:rFonts w:hint="eastAsia"/>
        </w:rPr>
        <w:t>，在此过程中再加入20 mL超纯水，以洗去搅拌棒与釜壁上粘附的纤维板粉末</w:t>
      </w:r>
      <w:r>
        <w:t>，使</w:t>
      </w:r>
      <w:r>
        <w:rPr>
          <w:rFonts w:hint="eastAsia"/>
        </w:rPr>
        <w:t>固液完全</w:t>
      </w:r>
      <w:r>
        <w:t>混合均匀。</w:t>
      </w:r>
    </w:p>
    <w:p>
      <w:pPr>
        <w:pStyle w:val="86"/>
        <w:spacing w:beforeAutospacing="0" w:afterAutospacing="0" w:line="440" w:lineRule="exact"/>
        <w:ind w:firstLine="480" w:firstLineChars="200"/>
        <w:jc w:val="both"/>
      </w:pPr>
      <w:r>
        <w:rPr>
          <w:rFonts w:hint="eastAsia"/>
        </w:rPr>
        <w:t>将搅拌釜上下合紧后，上紧釜盖夹器螺丝，</w:t>
      </w:r>
      <w:r>
        <w:rPr>
          <w:rFonts w:hint="eastAsia"/>
          <w:lang w:eastAsia="zh-CN"/>
        </w:rPr>
        <w:t>将</w:t>
      </w:r>
      <w:r>
        <w:t>载气N</w:t>
      </w:r>
      <w:r>
        <w:rPr>
          <w:vertAlign w:val="subscript"/>
        </w:rPr>
        <w:t>2</w:t>
      </w:r>
      <w:r>
        <w:t>通入</w:t>
      </w:r>
      <w:r>
        <w:rPr>
          <w:rFonts w:hint="eastAsia"/>
        </w:rPr>
        <w:t>釜内</w:t>
      </w:r>
      <w:r>
        <w:t>（流速为10 mL/s，时间为10</w:t>
      </w:r>
      <w:r>
        <w:rPr>
          <w:rFonts w:hint="eastAsia"/>
        </w:rPr>
        <w:t xml:space="preserve"> </w:t>
      </w:r>
      <w:r>
        <w:t>s），</w:t>
      </w:r>
      <w:r>
        <w:rPr>
          <w:rFonts w:hint="eastAsia"/>
          <w:lang w:eastAsia="zh-CN"/>
        </w:rPr>
        <w:t>然后释放</w:t>
      </w:r>
      <w:r>
        <w:t>N</w:t>
      </w:r>
      <w:r>
        <w:rPr>
          <w:vertAlign w:val="subscript"/>
        </w:rPr>
        <w:t>2</w:t>
      </w:r>
      <w:r>
        <w:t>，</w:t>
      </w:r>
      <w:r>
        <w:rPr>
          <w:rFonts w:hint="default"/>
        </w:rPr>
        <w:t>重复这个过程5次，以确保</w:t>
      </w:r>
      <w:r>
        <w:rPr>
          <w:rFonts w:hint="eastAsia"/>
          <w:lang w:eastAsia="zh-CN"/>
        </w:rPr>
        <w:t>水热反应过程中釜内</w:t>
      </w:r>
      <w:r>
        <w:rPr>
          <w:rFonts w:hint="default"/>
        </w:rPr>
        <w:t>的气氛</w:t>
      </w:r>
      <w:r>
        <w:rPr>
          <w:rFonts w:hint="eastAsia"/>
          <w:lang w:eastAsia="zh-CN"/>
        </w:rPr>
        <w:t>稳定</w:t>
      </w:r>
      <w:r>
        <w:rPr>
          <w:rFonts w:hint="eastAsia"/>
        </w:rPr>
        <w:t>，完成后把釜移至加热装置内，插入电机电源及铠装热电偶。</w:t>
      </w:r>
    </w:p>
    <w:p>
      <w:pPr>
        <w:pStyle w:val="86"/>
        <w:spacing w:beforeAutospacing="0" w:afterAutospacing="0" w:line="440" w:lineRule="exact"/>
        <w:ind w:firstLine="480" w:firstLineChars="200"/>
        <w:jc w:val="both"/>
      </w:pPr>
      <w:r>
        <w:t>设置水热温度为</w:t>
      </w:r>
      <w:r>
        <w:rPr>
          <w:rFonts w:hint="eastAsia"/>
        </w:rPr>
        <w:t xml:space="preserve">100 </w:t>
      </w:r>
      <w:r>
        <w:rPr>
          <w:rFonts w:cs="宋体"/>
        </w:rPr>
        <w:t>°C</w:t>
      </w:r>
      <w:r>
        <w:t>，</w:t>
      </w:r>
      <w:r>
        <w:rPr>
          <w:rFonts w:hint="eastAsia"/>
        </w:rPr>
        <w:t>转速为100 rpm ，</w:t>
      </w:r>
      <w:r>
        <w:t>达到设定温度后保温60 min。</w:t>
      </w:r>
      <w:r>
        <w:rPr>
          <w:rFonts w:hint="eastAsia"/>
        </w:rPr>
        <w:t xml:space="preserve">为避免到达保温温度设定值前的等待时间过长，预先将温度设置为107 </w:t>
      </w:r>
      <w:r>
        <w:t>°C</w:t>
      </w:r>
      <w:r>
        <w:rPr>
          <w:rFonts w:hint="eastAsia"/>
        </w:rPr>
        <w:t xml:space="preserve">，待釜内温度加热到95 </w:t>
      </w:r>
      <w:r>
        <w:t>°C</w:t>
      </w:r>
      <w:r>
        <w:rPr>
          <w:rFonts w:hint="eastAsia"/>
        </w:rPr>
        <w:t xml:space="preserve">时再调至100 </w:t>
      </w:r>
      <w:r>
        <w:t>°C</w:t>
      </w:r>
      <w:r>
        <w:rPr>
          <w:rFonts w:hint="eastAsia"/>
        </w:rPr>
        <w:t>，充分利用釜壁的弛豫时间，快速达到保温温度。</w:t>
      </w:r>
    </w:p>
    <w:p>
      <w:pPr>
        <w:pStyle w:val="86"/>
        <w:spacing w:beforeAutospacing="0" w:afterAutospacing="0" w:line="440" w:lineRule="exact"/>
        <w:ind w:firstLine="480" w:firstLineChars="200"/>
        <w:jc w:val="both"/>
      </w:pPr>
      <w:r>
        <w:t>加热结束后，将反应釜</w:t>
      </w:r>
      <w:r>
        <w:rPr>
          <w:rFonts w:hint="eastAsia"/>
        </w:rPr>
        <w:t>抬出</w:t>
      </w:r>
      <w:r>
        <w:t>放入水中冷却至室温</w:t>
      </w:r>
      <w:r>
        <w:rPr>
          <w:rFonts w:hint="eastAsia"/>
        </w:rPr>
        <w:t>。待釜内自生压力归零后，打开釜盖，将</w:t>
      </w:r>
      <w:r>
        <w:t>产物</w:t>
      </w:r>
      <w:r>
        <w:rPr>
          <w:rFonts w:hint="eastAsia"/>
        </w:rPr>
        <w:t>全部倒入小烧杯，并使用</w:t>
      </w:r>
      <w:r>
        <w:t>聚四氟乙烯棒</w:t>
      </w:r>
      <w:r>
        <w:rPr>
          <w:rFonts w:hint="eastAsia"/>
        </w:rPr>
        <w:t>刮取残余在搅拌装置和釜壁上的水热产物一并放入烧杯以尽可能减小实验误差。使用抽滤装置分离水热液和固相产物，后</w:t>
      </w:r>
      <w:r>
        <w:t>将</w:t>
      </w:r>
      <w:r>
        <w:rPr>
          <w:rFonts w:hint="eastAsia"/>
        </w:rPr>
        <w:t>水热液收集并放入冰箱冷藏，</w:t>
      </w:r>
      <w:r>
        <w:t>固相产物</w:t>
      </w:r>
      <w:r>
        <w:rPr>
          <w:rFonts w:hint="eastAsia"/>
        </w:rPr>
        <w:t xml:space="preserve">放入80 </w:t>
      </w:r>
      <w:r>
        <w:rPr>
          <w:rFonts w:cs="宋体"/>
          <w:lang w:bidi="ar"/>
        </w:rPr>
        <w:t>°C烘箱中干燥至恒重</w:t>
      </w:r>
      <w:r>
        <w:t>后收集备用。</w:t>
      </w:r>
    </w:p>
    <w:p>
      <w:pPr>
        <w:pStyle w:val="86"/>
        <w:spacing w:beforeAutospacing="0" w:afterAutospacing="0" w:line="440" w:lineRule="exact"/>
        <w:ind w:firstLine="480" w:firstLineChars="200"/>
      </w:pPr>
    </w:p>
    <w:p>
      <w:pPr>
        <w:pStyle w:val="4"/>
      </w:pPr>
      <w:bookmarkStart w:id="24" w:name="_Toc166450076"/>
      <w:bookmarkStart w:id="25" w:name="_Toc166234351"/>
      <w:r>
        <w:rPr>
          <w:rFonts w:hint="eastAsia"/>
        </w:rPr>
        <w:t>2.1.4  木糖与水热液的共热反应</w:t>
      </w:r>
      <w:bookmarkEnd w:id="24"/>
      <w:bookmarkEnd w:id="25"/>
    </w:p>
    <w:p>
      <w:pPr>
        <w:spacing w:line="440" w:lineRule="exact"/>
        <w:ind w:firstLine="480" w:firstLineChars="200"/>
        <w:jc w:val="both"/>
      </w:pPr>
      <w:r>
        <w:rPr>
          <w:rFonts w:hint="eastAsia"/>
        </w:rPr>
        <w:t>由于从冰箱取出的水热液存在一定析出沉淀，呈现浑浊悬浮状态，使用超声波振荡仪使其均质化。</w:t>
      </w:r>
    </w:p>
    <w:p>
      <w:pPr>
        <w:spacing w:line="440" w:lineRule="exact"/>
        <w:ind w:firstLine="480" w:firstLineChars="200"/>
        <w:jc w:val="both"/>
      </w:pPr>
      <w:r>
        <w:rPr>
          <w:rFonts w:hint="eastAsia"/>
        </w:rPr>
        <w:t>向反应釜中加入40 ml 均匀的水热液，加入3 g 木糖，置于超声波振荡仪中搅拌5 min，使木糖完全溶解于水热液中。使用载气N</w:t>
      </w:r>
      <w:r>
        <w:rPr>
          <w:rFonts w:hint="eastAsia"/>
          <w:vertAlign w:val="subscript"/>
        </w:rPr>
        <w:t>2</w:t>
      </w:r>
      <w:r>
        <w:rPr>
          <w:rFonts w:hint="eastAsia"/>
        </w:rPr>
        <w:t>置换釜内空气后，将反应釜置于加热装置内。设置水热温度，分别为180、200、220、240、260、280</w:t>
      </w:r>
      <w:r>
        <w:t>°C</w:t>
      </w:r>
      <w:r>
        <w:rPr>
          <w:rFonts w:hint="eastAsia"/>
        </w:rPr>
        <w:t>，达到设定的不同温度条件后保温120 min。</w:t>
      </w:r>
    </w:p>
    <w:p>
      <w:pPr>
        <w:spacing w:line="440" w:lineRule="exact"/>
        <w:ind w:firstLine="480" w:firstLineChars="200"/>
        <w:jc w:val="both"/>
      </w:pPr>
      <w:r>
        <w:rPr>
          <w:rFonts w:hint="eastAsia"/>
        </w:rPr>
        <w:t>反应结束将反应釜置入冷水中冷却20 min，待自生压力完全归零后再开釜。将釜内混合物使用</w:t>
      </w:r>
      <w:r>
        <w:t>聚四氟乙烯棒</w:t>
      </w:r>
      <w:r>
        <w:rPr>
          <w:rFonts w:hint="eastAsia"/>
        </w:rPr>
        <w:t>充分搅拌均匀后倒入烧杯，且由于水热炭化程度较重，因此需将搅拌装置和釜壁上残余的较多水热炭一并刮入烧杯。将烧杯内收集的共水热产物搅拌均匀后置于抽滤装置中，分离共热液与固相水热炭。待大部分共热液抽滤完成后，加入超纯水冲洗烧杯并继续抽滤，直至液相较为清澈。</w:t>
      </w:r>
    </w:p>
    <w:p>
      <w:pPr>
        <w:spacing w:line="440" w:lineRule="exact"/>
        <w:ind w:firstLine="480" w:firstLineChars="200"/>
        <w:jc w:val="both"/>
      </w:pPr>
      <w:r>
        <w:rPr>
          <w:rFonts w:hint="eastAsia"/>
        </w:rPr>
        <w:t>收集共热液时受到仪器限制，首先收集20 mL液相产物，再加入超纯水洗炭后再次定容20 mL，如此多次操作共收集三小瓶20 mL的液相产物。最后加入无水乙醇20 mL清洗固相产物炭以去除表面的有机物残留，获取较为纯净的固相产物炭以及液相。存在无水甲醇的液相溶液置入旋蒸仪，旋蒸30 min以去除乙醇，得到纯净的共热液。</w:t>
      </w:r>
    </w:p>
    <w:p>
      <w:pPr>
        <w:pStyle w:val="86"/>
        <w:spacing w:beforeAutospacing="0" w:afterAutospacing="0" w:line="440" w:lineRule="exact"/>
        <w:ind w:firstLine="480" w:firstLineChars="200"/>
        <w:jc w:val="both"/>
      </w:pPr>
      <w:r>
        <w:rPr>
          <w:rFonts w:hint="eastAsia"/>
        </w:rPr>
        <w:t>由于分离后的液相产物中含有不溶于水的有机物质，因此将一定的吸水树脂加入抽滤装置准备下一步的萃取。残余有机物质无法进入树脂，而是附著在树脂表面，此时加入4.5 mL乙酸乙酯以溶解产物内的有机物质对溶剂进行萃取。装瓶后加入2 g无水硫酸钠以</w:t>
      </w:r>
      <w:r>
        <w:rPr>
          <w:rFonts w:ascii="宋体" w:hAnsi="宋体" w:cs="宋体"/>
          <w:lang w:bidi="ar"/>
        </w:rPr>
        <w:t>去除</w:t>
      </w:r>
      <w:r>
        <w:rPr>
          <w:rFonts w:hint="eastAsia" w:ascii="宋体" w:hAnsi="宋体" w:cs="宋体"/>
          <w:lang w:bidi="ar"/>
        </w:rPr>
        <w:t>乙酸乙酯溶液中的</w:t>
      </w:r>
      <w:r>
        <w:rPr>
          <w:rFonts w:ascii="宋体" w:hAnsi="宋体" w:cs="宋体"/>
          <w:lang w:bidi="ar"/>
        </w:rPr>
        <w:t>水</w:t>
      </w:r>
      <w:r>
        <w:rPr>
          <w:rFonts w:hint="eastAsia"/>
        </w:rPr>
        <w:t>。</w:t>
      </w:r>
    </w:p>
    <w:p>
      <w:pPr>
        <w:pStyle w:val="86"/>
        <w:spacing w:beforeAutospacing="0" w:afterAutospacing="0" w:line="440" w:lineRule="exact"/>
        <w:ind w:firstLine="480" w:firstLineChars="200"/>
        <w:jc w:val="both"/>
      </w:pPr>
      <w:r>
        <w:rPr>
          <w:rFonts w:hint="eastAsia"/>
        </w:rPr>
        <w:t>由于高温反应后釜壁内残留固相水热炭附着力极强，难以用物理手段清洗干净，而有污染下一次水热实验的可能，因此在每次做完共热实验后需额外进行清洗反应。在釜中加入2 ml的30%（体积）过氧化氢溶液，再加入2 mL无水乙醇，后使用超纯水加至没过最高炭垢附着处。</w:t>
      </w:r>
      <w:r>
        <w:t>设置</w:t>
      </w:r>
      <w:r>
        <w:rPr>
          <w:rFonts w:hint="eastAsia"/>
        </w:rPr>
        <w:t>反应</w:t>
      </w:r>
      <w:r>
        <w:t>温度为</w:t>
      </w:r>
      <w:r>
        <w:rPr>
          <w:rFonts w:hint="eastAsia"/>
        </w:rPr>
        <w:t>140</w:t>
      </w:r>
      <w:r>
        <w:rPr>
          <w:rFonts w:cs="宋体"/>
        </w:rPr>
        <w:t>°C</w:t>
      </w:r>
      <w:r>
        <w:t>，</w:t>
      </w:r>
      <w:r>
        <w:rPr>
          <w:rFonts w:hint="eastAsia"/>
        </w:rPr>
        <w:t>转速为100 rpm ，</w:t>
      </w:r>
      <w:r>
        <w:t>达到设定温度后保温60 min</w:t>
      </w:r>
      <w:r>
        <w:rPr>
          <w:rFonts w:hint="eastAsia"/>
        </w:rPr>
        <w:t>，冷却结束后便可较为轻易地将釜壁及搅拌器清洁干净，以便准备下一次水热实验。</w:t>
      </w:r>
    </w:p>
    <w:p>
      <w:pPr>
        <w:spacing w:before="120" w:beforeLines="50" w:after="120" w:afterLines="50" w:line="360" w:lineRule="auto"/>
        <w:jc w:val="center"/>
      </w:pPr>
      <w:r>
        <w:drawing>
          <wp:inline distT="0" distB="0" distL="114300" distR="114300">
            <wp:extent cx="5857240" cy="5792470"/>
            <wp:effectExtent l="0" t="0" r="635" b="190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5857240" cy="5792470"/>
                    </a:xfrm>
                    <a:prstGeom prst="rect">
                      <a:avLst/>
                    </a:prstGeom>
                    <a:noFill/>
                    <a:ln>
                      <a:noFill/>
                    </a:ln>
                  </pic:spPr>
                </pic:pic>
              </a:graphicData>
            </a:graphic>
          </wp:inline>
        </w:drawing>
      </w:r>
    </w:p>
    <w:p>
      <w:pPr>
        <w:jc w:val="center"/>
        <w:rPr>
          <w:sz w:val="21"/>
          <w:szCs w:val="21"/>
        </w:rPr>
      </w:pPr>
      <w:r>
        <w:rPr>
          <w:rFonts w:hint="eastAsia"/>
          <w:sz w:val="21"/>
          <w:szCs w:val="21"/>
        </w:rPr>
        <w:t>图</w:t>
      </w:r>
      <w:r>
        <w:rPr>
          <w:rFonts w:hint="eastAsia"/>
          <w:sz w:val="21"/>
          <w:szCs w:val="21"/>
          <w:lang w:val="en-US" w:eastAsia="zh-CN"/>
        </w:rPr>
        <w:t>2-1</w:t>
      </w:r>
      <w:r>
        <w:rPr>
          <w:rFonts w:hint="eastAsia"/>
          <w:sz w:val="21"/>
          <w:szCs w:val="21"/>
        </w:rPr>
        <w:t xml:space="preserve">  纤维板与木糖水热反应实验流程示意图</w:t>
      </w:r>
    </w:p>
    <w:p>
      <w:pPr>
        <w:jc w:val="center"/>
        <w:rPr>
          <w:sz w:val="21"/>
          <w:szCs w:val="21"/>
        </w:rPr>
      </w:pPr>
      <w:r>
        <w:rPr>
          <w:sz w:val="21"/>
          <w:szCs w:val="21"/>
        </w:rPr>
        <w:t>Fig.2</w:t>
      </w:r>
      <w:r>
        <w:rPr>
          <w:rFonts w:hint="eastAsia"/>
          <w:sz w:val="21"/>
          <w:szCs w:val="21"/>
          <w:lang w:val="en-US" w:eastAsia="zh-CN"/>
        </w:rPr>
        <w:t>-1</w:t>
      </w:r>
      <w:r>
        <w:rPr>
          <w:sz w:val="21"/>
          <w:szCs w:val="21"/>
        </w:rPr>
        <w:t xml:space="preserve">  Schematic diagram of the experimental process for the reaction between xylose and fiberboard hydrothermal solution </w:t>
      </w:r>
    </w:p>
    <w:p>
      <w:pPr>
        <w:pStyle w:val="3"/>
        <w:bidi w:val="0"/>
        <w:rPr>
          <w:rFonts w:hint="eastAsia"/>
        </w:rPr>
      </w:pPr>
      <w:bookmarkStart w:id="26" w:name="_Toc166234352"/>
      <w:bookmarkStart w:id="27" w:name="_Toc166450077"/>
    </w:p>
    <w:p>
      <w:pPr>
        <w:pStyle w:val="3"/>
        <w:bidi w:val="0"/>
      </w:pPr>
      <w:r>
        <w:rPr>
          <w:rFonts w:hint="eastAsia"/>
        </w:rPr>
        <w:t>2.2  测试与表征</w:t>
      </w:r>
      <w:bookmarkEnd w:id="26"/>
      <w:bookmarkEnd w:id="27"/>
    </w:p>
    <w:p>
      <w:pPr>
        <w:spacing w:line="440" w:lineRule="exact"/>
        <w:ind w:firstLine="480" w:firstLineChars="200"/>
        <w:jc w:val="both"/>
        <w:rPr>
          <w:rFonts w:hint="eastAsia"/>
        </w:rPr>
      </w:pPr>
      <w:r>
        <w:rPr>
          <w:rFonts w:hint="eastAsia"/>
        </w:rPr>
        <w:t>采用德国Elementar公司的Vario EL III全自动元素分析仪对原料和水热炭进行元素分析。通过将样品自动掉落入Vario EL III中的燃烧器中，样品经过高温燃烧，有机物被氧化为CO</w:t>
      </w:r>
      <w:r>
        <w:rPr>
          <w:rFonts w:hint="eastAsia"/>
          <w:vertAlign w:val="subscript"/>
        </w:rPr>
        <w:t>2</w:t>
      </w:r>
      <w:r>
        <w:rPr>
          <w:rFonts w:hint="eastAsia"/>
        </w:rPr>
        <w:t>、H</w:t>
      </w:r>
      <w:r>
        <w:rPr>
          <w:rFonts w:hint="eastAsia"/>
          <w:vertAlign w:val="subscript"/>
        </w:rPr>
        <w:t>2</w:t>
      </w:r>
      <w:r>
        <w:rPr>
          <w:rFonts w:hint="eastAsia"/>
        </w:rPr>
        <w:t>O、N</w:t>
      </w:r>
      <w:r>
        <w:rPr>
          <w:rFonts w:hint="default"/>
          <w:lang w:val="en-US"/>
        </w:rPr>
        <w:t>O</w:t>
      </w:r>
      <w:r>
        <w:rPr>
          <w:rFonts w:hint="eastAsia"/>
          <w:vertAlign w:val="subscript"/>
          <w:lang w:val="en-US" w:eastAsia="zh-CN"/>
        </w:rPr>
        <w:t>x</w:t>
      </w:r>
      <w:r>
        <w:rPr>
          <w:rFonts w:hint="eastAsia"/>
        </w:rPr>
        <w:t>和SO</w:t>
      </w:r>
      <w:r>
        <w:rPr>
          <w:rFonts w:hint="eastAsia"/>
          <w:vertAlign w:val="subscript"/>
        </w:rPr>
        <w:t>2</w:t>
      </w:r>
      <w:r>
        <w:rPr>
          <w:rFonts w:hint="eastAsia"/>
        </w:rPr>
        <w:t>等气体。燃烧产生的气体通过一系列的气体分离和净化步骤，将不同的气体分离开来，并去除其中的杂质。分离和净化后的气体进入检测系统。Vario EL III元素分析仪采用热导（TC）技术对N</w:t>
      </w:r>
      <w:r>
        <w:rPr>
          <w:rFonts w:hint="eastAsia"/>
          <w:vertAlign w:val="subscript"/>
        </w:rPr>
        <w:t>2</w:t>
      </w:r>
      <w:r>
        <w:rPr>
          <w:rFonts w:hint="eastAsia"/>
        </w:rPr>
        <w:t>进行测量</w:t>
      </w:r>
      <w:r>
        <w:rPr>
          <w:rFonts w:hint="eastAsia"/>
          <w:lang w:eastAsia="zh-CN"/>
        </w:rPr>
        <w:t>，</w:t>
      </w:r>
      <w:r>
        <w:rPr>
          <w:rFonts w:hint="eastAsia"/>
        </w:rPr>
        <w:t>通过测量得到的气体浓度，元素分析仪利用事先建立的校准曲线及标准方法，计算出样品中碳、氢、氮、硫元素的含量。相关元素分析结果见表</w:t>
      </w:r>
      <w:r>
        <w:rPr>
          <w:rFonts w:hint="eastAsia"/>
          <w:lang w:val="en-US" w:eastAsia="zh-CN"/>
        </w:rPr>
        <w:t>2-</w:t>
      </w:r>
      <w:r>
        <w:rPr>
          <w:rFonts w:hint="eastAsia"/>
        </w:rPr>
        <w:t>2。</w:t>
      </w:r>
    </w:p>
    <w:p>
      <w:pPr>
        <w:rPr>
          <w:rFonts w:hint="eastAsia"/>
        </w:rPr>
      </w:pPr>
    </w:p>
    <w:p>
      <w:pPr>
        <w:spacing w:before="240" w:beforeLines="100"/>
        <w:jc w:val="center"/>
        <w:rPr>
          <w:sz w:val="21"/>
          <w:szCs w:val="21"/>
        </w:rPr>
      </w:pPr>
      <w:r>
        <w:rPr>
          <w:rFonts w:hint="eastAsia"/>
          <w:sz w:val="21"/>
          <w:szCs w:val="21"/>
        </w:rPr>
        <w:t>表2</w:t>
      </w:r>
      <w:r>
        <w:rPr>
          <w:rFonts w:hint="eastAsia"/>
          <w:sz w:val="21"/>
          <w:szCs w:val="21"/>
          <w:lang w:val="en-US" w:eastAsia="zh-CN"/>
        </w:rPr>
        <w:t>-2</w:t>
      </w:r>
      <w:r>
        <w:rPr>
          <w:rFonts w:hint="eastAsia"/>
          <w:sz w:val="21"/>
          <w:szCs w:val="21"/>
        </w:rPr>
        <w:t xml:space="preserve">  纤维板水热液与木糖共水热固相产物炭的元素分析</w:t>
      </w:r>
    </w:p>
    <w:p>
      <w:pPr>
        <w:jc w:val="center"/>
        <w:rPr>
          <w:sz w:val="21"/>
          <w:szCs w:val="21"/>
        </w:rPr>
      </w:pPr>
      <w:r>
        <w:rPr>
          <w:sz w:val="21"/>
          <w:szCs w:val="21"/>
        </w:rPr>
        <w:t>Tab.2</w:t>
      </w:r>
      <w:r>
        <w:rPr>
          <w:rFonts w:hint="eastAsia"/>
          <w:sz w:val="21"/>
          <w:szCs w:val="21"/>
          <w:lang w:val="en-US" w:eastAsia="zh-CN"/>
        </w:rPr>
        <w:t>-2</w:t>
      </w:r>
      <w:r>
        <w:rPr>
          <w:sz w:val="21"/>
          <w:szCs w:val="21"/>
        </w:rPr>
        <w:t xml:space="preserve">  Elemental analysis of the solid phase product obtained from the hydrothermal treatment of fiberboard hydrothermal solution and xylose</w:t>
      </w:r>
    </w:p>
    <w:p>
      <w:pPr>
        <w:jc w:val="center"/>
      </w:pPr>
    </w:p>
    <w:tbl>
      <w:tblPr>
        <w:tblStyle w:val="13"/>
        <w:tblW w:w="5000" w:type="pct"/>
        <w:jc w:val="center"/>
        <w:tblLayout w:type="autofit"/>
        <w:tblCellMar>
          <w:top w:w="0" w:type="dxa"/>
          <w:left w:w="108" w:type="dxa"/>
          <w:bottom w:w="0" w:type="dxa"/>
          <w:right w:w="108" w:type="dxa"/>
        </w:tblCellMar>
      </w:tblPr>
      <w:tblGrid>
        <w:gridCol w:w="2523"/>
        <w:gridCol w:w="1386"/>
        <w:gridCol w:w="1386"/>
        <w:gridCol w:w="1386"/>
        <w:gridCol w:w="1389"/>
        <w:gridCol w:w="1387"/>
      </w:tblGrid>
      <w:tr>
        <w:tblPrEx>
          <w:tblCellMar>
            <w:top w:w="0" w:type="dxa"/>
            <w:left w:w="108" w:type="dxa"/>
            <w:bottom w:w="0" w:type="dxa"/>
            <w:right w:w="108" w:type="dxa"/>
          </w:tblCellMar>
        </w:tblPrEx>
        <w:trPr>
          <w:trHeight w:val="397" w:hRule="atLeast"/>
          <w:jc w:val="center"/>
        </w:trPr>
        <w:tc>
          <w:tcPr>
            <w:tcW w:w="1334" w:type="pct"/>
            <w:tcBorders>
              <w:top w:val="single" w:color="auto" w:sz="12" w:space="0"/>
              <w:left w:val="nil"/>
              <w:bottom w:val="single" w:color="auto" w:sz="4" w:space="0"/>
              <w:right w:val="nil"/>
            </w:tcBorders>
            <w:shd w:val="clear" w:color="auto" w:fill="auto"/>
            <w:noWrap/>
            <w:vAlign w:val="center"/>
          </w:tcPr>
          <w:p>
            <w:pPr>
              <w:jc w:val="center"/>
              <w:rPr>
                <w:color w:val="000000"/>
                <w:szCs w:val="24"/>
              </w:rPr>
            </w:pPr>
            <w:r>
              <w:rPr>
                <w:color w:val="000000"/>
                <w:szCs w:val="24"/>
                <w:lang w:bidi="ar"/>
              </w:rPr>
              <w:t>共热反应</w:t>
            </w:r>
            <w:r>
              <w:rPr>
                <w:rFonts w:hint="eastAsia"/>
                <w:color w:val="000000"/>
                <w:szCs w:val="24"/>
                <w:lang w:bidi="ar"/>
              </w:rPr>
              <w:t>温度</w:t>
            </w:r>
          </w:p>
        </w:tc>
        <w:tc>
          <w:tcPr>
            <w:tcW w:w="733" w:type="pct"/>
            <w:tcBorders>
              <w:top w:val="single" w:color="auto" w:sz="12" w:space="0"/>
              <w:left w:val="nil"/>
              <w:bottom w:val="single" w:color="auto" w:sz="4" w:space="0"/>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N</w:t>
            </w:r>
            <w:r>
              <w:rPr>
                <w:rFonts w:hint="default"/>
                <w:lang w:val="en-US"/>
              </w:rPr>
              <w:t xml:space="preserve"> </w:t>
            </w:r>
            <w:r>
              <w:rPr>
                <w:rFonts w:hint="default"/>
                <w:vertAlign w:val="baseline"/>
                <w:lang w:val="en-US"/>
              </w:rPr>
              <w:t>(%)</w:t>
            </w:r>
          </w:p>
        </w:tc>
        <w:tc>
          <w:tcPr>
            <w:tcW w:w="733" w:type="pct"/>
            <w:tcBorders>
              <w:top w:val="single" w:color="auto" w:sz="12" w:space="0"/>
              <w:left w:val="nil"/>
              <w:bottom w:val="single" w:color="auto" w:sz="4" w:space="0"/>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C</w:t>
            </w:r>
            <w:r>
              <w:rPr>
                <w:rFonts w:hint="default"/>
                <w:lang w:val="en-US"/>
              </w:rPr>
              <w:t xml:space="preserve"> </w:t>
            </w:r>
            <w:r>
              <w:rPr>
                <w:rFonts w:hint="default"/>
                <w:vertAlign w:val="baseline"/>
                <w:lang w:val="en-US"/>
              </w:rPr>
              <w:t>(%)</w:t>
            </w:r>
          </w:p>
        </w:tc>
        <w:tc>
          <w:tcPr>
            <w:tcW w:w="733" w:type="pct"/>
            <w:tcBorders>
              <w:top w:val="single" w:color="auto" w:sz="12" w:space="0"/>
              <w:left w:val="nil"/>
              <w:bottom w:val="single" w:color="auto" w:sz="4" w:space="0"/>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H</w:t>
            </w:r>
            <w:r>
              <w:rPr>
                <w:rFonts w:hint="default"/>
                <w:lang w:val="en-US"/>
              </w:rPr>
              <w:t xml:space="preserve"> </w:t>
            </w:r>
            <w:r>
              <w:rPr>
                <w:rFonts w:hint="default"/>
                <w:vertAlign w:val="baseline"/>
                <w:lang w:val="en-US"/>
              </w:rPr>
              <w:t>(%)</w:t>
            </w:r>
          </w:p>
        </w:tc>
        <w:tc>
          <w:tcPr>
            <w:tcW w:w="734" w:type="pct"/>
            <w:tcBorders>
              <w:top w:val="single" w:color="auto" w:sz="12" w:space="0"/>
              <w:left w:val="nil"/>
              <w:bottom w:val="single" w:color="auto" w:sz="4" w:space="0"/>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S</w:t>
            </w:r>
            <w:r>
              <w:rPr>
                <w:rFonts w:hint="default"/>
                <w:lang w:val="en-US"/>
              </w:rPr>
              <w:t xml:space="preserve"> </w:t>
            </w:r>
            <w:r>
              <w:rPr>
                <w:rFonts w:hint="default"/>
                <w:vertAlign w:val="baseline"/>
                <w:lang w:val="en-US"/>
              </w:rPr>
              <w:t>(%)</w:t>
            </w:r>
          </w:p>
        </w:tc>
        <w:tc>
          <w:tcPr>
            <w:tcW w:w="734" w:type="pct"/>
            <w:tcBorders>
              <w:top w:val="single" w:color="auto" w:sz="12" w:space="0"/>
              <w:left w:val="nil"/>
              <w:bottom w:val="single" w:color="auto" w:sz="4" w:space="0"/>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O</w:t>
            </w:r>
            <w:r>
              <w:rPr>
                <w:rFonts w:hint="default"/>
                <w:lang w:val="en-US"/>
              </w:rPr>
              <w:t xml:space="preserve"> </w:t>
            </w:r>
            <w:r>
              <w:rPr>
                <w:rFonts w:hint="default"/>
                <w:vertAlign w:val="baseline"/>
                <w:lang w:val="en-US"/>
              </w:rPr>
              <w:t>(%)</w:t>
            </w:r>
            <w:bookmarkStart w:id="103" w:name="_GoBack"/>
            <w:bookmarkEnd w:id="103"/>
          </w:p>
        </w:tc>
      </w:tr>
      <w:tr>
        <w:tblPrEx>
          <w:tblCellMar>
            <w:top w:w="0" w:type="dxa"/>
            <w:left w:w="108" w:type="dxa"/>
            <w:bottom w:w="0" w:type="dxa"/>
            <w:right w:w="108" w:type="dxa"/>
          </w:tblCellMar>
        </w:tblPrEx>
        <w:trPr>
          <w:trHeight w:val="397" w:hRule="atLeast"/>
          <w:jc w:val="center"/>
        </w:trPr>
        <w:tc>
          <w:tcPr>
            <w:tcW w:w="1334" w:type="pct"/>
            <w:tcBorders>
              <w:top w:val="single" w:color="auto" w:sz="4" w:space="0"/>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180</w:t>
            </w:r>
            <w:r>
              <w:rPr>
                <w:rFonts w:cs="宋体"/>
                <w:color w:val="000000"/>
                <w:lang w:bidi="ar"/>
              </w:rPr>
              <w:t>°C</w:t>
            </w:r>
            <w:r>
              <w:rPr>
                <w:color w:val="000000"/>
                <w:lang w:bidi="ar"/>
              </w:rPr>
              <w:t>-1</w:t>
            </w:r>
          </w:p>
        </w:tc>
        <w:tc>
          <w:tcPr>
            <w:tcW w:w="733" w:type="pct"/>
            <w:tcBorders>
              <w:top w:val="single" w:color="auto" w:sz="4" w:space="0"/>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5.97</w:t>
            </w:r>
          </w:p>
        </w:tc>
        <w:tc>
          <w:tcPr>
            <w:tcW w:w="733" w:type="pct"/>
            <w:tcBorders>
              <w:top w:val="single" w:color="auto" w:sz="4" w:space="0"/>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65.38</w:t>
            </w:r>
          </w:p>
        </w:tc>
        <w:tc>
          <w:tcPr>
            <w:tcW w:w="733" w:type="pct"/>
            <w:tcBorders>
              <w:top w:val="single" w:color="auto" w:sz="4" w:space="0"/>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3.35</w:t>
            </w:r>
          </w:p>
        </w:tc>
        <w:tc>
          <w:tcPr>
            <w:tcW w:w="734" w:type="pct"/>
            <w:tcBorders>
              <w:top w:val="single" w:color="auto" w:sz="4" w:space="0"/>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0.04</w:t>
            </w:r>
          </w:p>
        </w:tc>
        <w:tc>
          <w:tcPr>
            <w:tcW w:w="734" w:type="pct"/>
            <w:tcBorders>
              <w:top w:val="single" w:color="auto" w:sz="4" w:space="0"/>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25.25</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180</w:t>
            </w:r>
            <w:r>
              <w:rPr>
                <w:rFonts w:cs="宋体"/>
                <w:color w:val="000000"/>
                <w:lang w:bidi="ar"/>
              </w:rPr>
              <w:t>°C</w:t>
            </w:r>
            <w:r>
              <w:rPr>
                <w:color w:val="000000"/>
                <w:lang w:bidi="ar"/>
              </w:rPr>
              <w:t>-2</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5.80</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64.30</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4.67</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0.10</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25.13</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180</w:t>
            </w:r>
            <w:r>
              <w:rPr>
                <w:rFonts w:cs="宋体"/>
                <w:color w:val="000000"/>
                <w:lang w:bidi="ar"/>
              </w:rPr>
              <w:t>°C</w:t>
            </w:r>
            <w:r>
              <w:rPr>
                <w:rFonts w:hint="eastAsia"/>
                <w:color w:val="000000"/>
                <w:lang w:bidi="ar"/>
              </w:rPr>
              <w:t>-AVG</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5.89</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64.84</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4.01</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0.07</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25.19</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200</w:t>
            </w:r>
            <w:r>
              <w:rPr>
                <w:rFonts w:cs="宋体"/>
                <w:color w:val="000000"/>
                <w:lang w:bidi="ar"/>
              </w:rPr>
              <w:t>°C</w:t>
            </w:r>
            <w:r>
              <w:rPr>
                <w:color w:val="000000"/>
                <w:lang w:bidi="ar"/>
              </w:rPr>
              <w:t>-1</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5.87</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66.20</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5.13</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0.17</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22.63</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200</w:t>
            </w:r>
            <w:r>
              <w:rPr>
                <w:rFonts w:cs="宋体"/>
                <w:color w:val="000000"/>
                <w:lang w:bidi="ar"/>
              </w:rPr>
              <w:t>°C</w:t>
            </w:r>
            <w:r>
              <w:rPr>
                <w:color w:val="000000"/>
                <w:lang w:bidi="ar"/>
              </w:rPr>
              <w:t>-2</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5.83</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69.19</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5.06</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0.14</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19.77</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rFonts w:hint="eastAsia"/>
                <w:color w:val="000000"/>
                <w:lang w:bidi="ar"/>
              </w:rPr>
              <w:t>20</w:t>
            </w:r>
            <w:r>
              <w:rPr>
                <w:color w:val="000000"/>
                <w:lang w:bidi="ar"/>
              </w:rPr>
              <w:t>0</w:t>
            </w:r>
            <w:r>
              <w:rPr>
                <w:rFonts w:cs="宋体"/>
                <w:color w:val="000000"/>
                <w:lang w:bidi="ar"/>
              </w:rPr>
              <w:t>°C</w:t>
            </w:r>
            <w:r>
              <w:rPr>
                <w:rFonts w:hint="eastAsia"/>
                <w:color w:val="000000"/>
                <w:lang w:bidi="ar"/>
              </w:rPr>
              <w:t>-AVG</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5.85</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67.70</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5.10</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0.16</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21.20</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220</w:t>
            </w:r>
            <w:r>
              <w:rPr>
                <w:rFonts w:cs="宋体"/>
                <w:color w:val="000000"/>
                <w:lang w:bidi="ar"/>
              </w:rPr>
              <w:t>°C</w:t>
            </w:r>
            <w:r>
              <w:rPr>
                <w:color w:val="000000"/>
                <w:lang w:bidi="ar"/>
              </w:rPr>
              <w:t>-1</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6.09</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71.10</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4.90</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0.16</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17.75</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220</w:t>
            </w:r>
            <w:r>
              <w:rPr>
                <w:rFonts w:cs="宋体"/>
                <w:color w:val="000000"/>
                <w:lang w:bidi="ar"/>
              </w:rPr>
              <w:t>°C</w:t>
            </w:r>
            <w:r>
              <w:rPr>
                <w:color w:val="000000"/>
                <w:lang w:bidi="ar"/>
              </w:rPr>
              <w:t>-2</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6.01</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69.67</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5.05</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0.14</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19.14</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220</w:t>
            </w:r>
            <w:r>
              <w:rPr>
                <w:rFonts w:cs="宋体"/>
                <w:color w:val="000000"/>
                <w:lang w:bidi="ar"/>
              </w:rPr>
              <w:t>°C</w:t>
            </w:r>
            <w:r>
              <w:rPr>
                <w:rFonts w:hint="eastAsia"/>
                <w:color w:val="000000"/>
                <w:lang w:bidi="ar"/>
              </w:rPr>
              <w:t>-AVG</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6.05</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70.39</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4.98</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0.15</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18.44</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240</w:t>
            </w:r>
            <w:r>
              <w:rPr>
                <w:rFonts w:cs="宋体"/>
                <w:color w:val="000000"/>
                <w:lang w:bidi="ar"/>
              </w:rPr>
              <w:t>°C</w:t>
            </w:r>
            <w:r>
              <w:rPr>
                <w:color w:val="000000"/>
                <w:lang w:bidi="ar"/>
              </w:rPr>
              <w:t>-1</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5.60</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52.77</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4.88</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0.11</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36.65</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240</w:t>
            </w:r>
            <w:r>
              <w:rPr>
                <w:rFonts w:cs="宋体"/>
                <w:color w:val="000000"/>
                <w:lang w:bidi="ar"/>
              </w:rPr>
              <w:t>°C</w:t>
            </w:r>
            <w:r>
              <w:rPr>
                <w:color w:val="000000"/>
                <w:lang w:bidi="ar"/>
              </w:rPr>
              <w:t>-2</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5.78</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70.42</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4.90</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0.07</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18.83</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240</w:t>
            </w:r>
            <w:r>
              <w:rPr>
                <w:rFonts w:cs="宋体"/>
                <w:color w:val="000000"/>
                <w:lang w:bidi="ar"/>
              </w:rPr>
              <w:t>°C</w:t>
            </w:r>
            <w:r>
              <w:rPr>
                <w:rFonts w:hint="eastAsia"/>
                <w:color w:val="000000"/>
                <w:lang w:bidi="ar"/>
              </w:rPr>
              <w:t>-AVG</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5.69</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61.60</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4.89</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0.09</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27.74</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260</w:t>
            </w:r>
            <w:r>
              <w:rPr>
                <w:rFonts w:cs="宋体"/>
                <w:color w:val="000000"/>
                <w:lang w:bidi="ar"/>
              </w:rPr>
              <w:t>°C</w:t>
            </w:r>
            <w:r>
              <w:rPr>
                <w:color w:val="000000"/>
                <w:lang w:bidi="ar"/>
              </w:rPr>
              <w:t>-1</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6.43</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68.72</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5.27</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0.11</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19.47</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260</w:t>
            </w:r>
            <w:r>
              <w:rPr>
                <w:rFonts w:cs="宋体"/>
                <w:color w:val="000000"/>
                <w:lang w:bidi="ar"/>
              </w:rPr>
              <w:t>°C</w:t>
            </w:r>
            <w:r>
              <w:rPr>
                <w:color w:val="000000"/>
                <w:lang w:bidi="ar"/>
              </w:rPr>
              <w:t>-2</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6.34</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71.63</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5.16</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0.08</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16.79</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260</w:t>
            </w:r>
            <w:r>
              <w:rPr>
                <w:rFonts w:cs="宋体"/>
                <w:color w:val="000000"/>
                <w:lang w:bidi="ar"/>
              </w:rPr>
              <w:t>°C</w:t>
            </w:r>
            <w:r>
              <w:rPr>
                <w:rFonts w:hint="eastAsia"/>
                <w:color w:val="000000"/>
                <w:lang w:bidi="ar"/>
              </w:rPr>
              <w:t>-AVG</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6.39</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70.18</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5.21</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0.10</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18.13</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280</w:t>
            </w:r>
            <w:r>
              <w:rPr>
                <w:rFonts w:cs="宋体"/>
                <w:color w:val="000000"/>
                <w:lang w:bidi="ar"/>
              </w:rPr>
              <w:t>°C</w:t>
            </w:r>
            <w:r>
              <w:rPr>
                <w:color w:val="000000"/>
                <w:lang w:bidi="ar"/>
              </w:rPr>
              <w:t>-1</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6.35</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74.11</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4.76</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0.04</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14.74</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280</w:t>
            </w:r>
            <w:r>
              <w:rPr>
                <w:rFonts w:cs="宋体"/>
                <w:color w:val="000000"/>
                <w:lang w:bidi="ar"/>
              </w:rPr>
              <w:t>°C</w:t>
            </w:r>
            <w:r>
              <w:rPr>
                <w:color w:val="000000"/>
                <w:lang w:bidi="ar"/>
              </w:rPr>
              <w:t>-2</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6.21</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71.27</w:t>
            </w:r>
          </w:p>
        </w:tc>
        <w:tc>
          <w:tcPr>
            <w:tcW w:w="733"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4.98</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0.13</w:t>
            </w:r>
          </w:p>
        </w:tc>
        <w:tc>
          <w:tcPr>
            <w:tcW w:w="734"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17.41</w:t>
            </w:r>
          </w:p>
        </w:tc>
      </w:tr>
      <w:tr>
        <w:tblPrEx>
          <w:tblCellMar>
            <w:top w:w="0" w:type="dxa"/>
            <w:left w:w="108" w:type="dxa"/>
            <w:bottom w:w="0" w:type="dxa"/>
            <w:right w:w="108" w:type="dxa"/>
          </w:tblCellMar>
        </w:tblPrEx>
        <w:trPr>
          <w:trHeight w:val="397" w:hRule="atLeast"/>
          <w:jc w:val="center"/>
        </w:trPr>
        <w:tc>
          <w:tcPr>
            <w:tcW w:w="1334" w:type="pct"/>
            <w:tcBorders>
              <w:top w:val="nil"/>
              <w:left w:val="nil"/>
              <w:bottom w:val="single" w:color="auto" w:sz="12" w:space="0"/>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280</w:t>
            </w:r>
            <w:r>
              <w:rPr>
                <w:rFonts w:cs="宋体"/>
                <w:color w:val="000000"/>
                <w:lang w:bidi="ar"/>
              </w:rPr>
              <w:t>°C</w:t>
            </w:r>
            <w:r>
              <w:rPr>
                <w:rFonts w:hint="eastAsia"/>
                <w:color w:val="000000"/>
                <w:lang w:bidi="ar"/>
              </w:rPr>
              <w:t>-AVG</w:t>
            </w:r>
          </w:p>
        </w:tc>
        <w:tc>
          <w:tcPr>
            <w:tcW w:w="733" w:type="pct"/>
            <w:tcBorders>
              <w:top w:val="nil"/>
              <w:left w:val="nil"/>
              <w:bottom w:val="single" w:color="auto" w:sz="12" w:space="0"/>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6.28</w:t>
            </w:r>
          </w:p>
        </w:tc>
        <w:tc>
          <w:tcPr>
            <w:tcW w:w="733" w:type="pct"/>
            <w:tcBorders>
              <w:top w:val="nil"/>
              <w:left w:val="nil"/>
              <w:bottom w:val="single" w:color="auto" w:sz="12" w:space="0"/>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72.69</w:t>
            </w:r>
          </w:p>
        </w:tc>
        <w:tc>
          <w:tcPr>
            <w:tcW w:w="733" w:type="pct"/>
            <w:tcBorders>
              <w:top w:val="nil"/>
              <w:left w:val="nil"/>
              <w:bottom w:val="single" w:color="auto" w:sz="12" w:space="0"/>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4.87</w:t>
            </w:r>
          </w:p>
        </w:tc>
        <w:tc>
          <w:tcPr>
            <w:tcW w:w="734" w:type="pct"/>
            <w:tcBorders>
              <w:top w:val="nil"/>
              <w:left w:val="nil"/>
              <w:bottom w:val="single" w:color="auto" w:sz="12" w:space="0"/>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0.08</w:t>
            </w:r>
          </w:p>
        </w:tc>
        <w:tc>
          <w:tcPr>
            <w:tcW w:w="734" w:type="pct"/>
            <w:tcBorders>
              <w:top w:val="nil"/>
              <w:left w:val="nil"/>
              <w:bottom w:val="single" w:color="auto" w:sz="12" w:space="0"/>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16.08</w:t>
            </w:r>
          </w:p>
        </w:tc>
      </w:tr>
    </w:tbl>
    <w:p>
      <w:pPr>
        <w:spacing w:line="440" w:lineRule="exact"/>
      </w:pPr>
    </w:p>
    <w:p>
      <w:pPr>
        <w:keepNext w:val="0"/>
        <w:keepLines w:val="0"/>
        <w:pageBreakBefore w:val="0"/>
        <w:widowControl/>
        <w:kinsoku/>
        <w:wordWrap/>
        <w:overflowPunct/>
        <w:topLinePunct w:val="0"/>
        <w:autoSpaceDE/>
        <w:autoSpaceDN/>
        <w:bidi w:val="0"/>
        <w:adjustRightInd/>
        <w:snapToGrid/>
        <w:spacing w:after="361" w:afterLines="100" w:line="440" w:lineRule="exact"/>
        <w:ind w:firstLine="480" w:firstLineChars="200"/>
        <w:textAlignment w:val="auto"/>
        <w:rPr>
          <w:rFonts w:hint="eastAsia"/>
          <w:sz w:val="16"/>
          <w:szCs w:val="11"/>
        </w:rPr>
      </w:pPr>
      <w:r>
        <w:rPr>
          <w:rFonts w:hint="eastAsia"/>
        </w:rPr>
        <w:t>其中，本研究只关注氮的质量分数在不同温度下的变化，以分析水热液在木糖参与下的固氮率变化。存在于固相产物中的氮保留率为：</w:t>
      </w:r>
    </w:p>
    <w:p>
      <w:pPr>
        <w:spacing w:before="120" w:beforeLines="50" w:after="120" w:afterLines="50" w:line="360" w:lineRule="auto"/>
        <w:jc w:val="center"/>
        <w:rPr>
          <w:rFonts w:hint="default" w:eastAsia="宋体"/>
          <w:lang w:val="en-US" w:eastAsia="zh-CN"/>
        </w:rPr>
      </w:pPr>
      <m:oMathPara>
        <m:oMathParaPr>
          <m:jc m:val="right"/>
        </m:oMathParaPr>
        <m:oMath>
          <m:sSub>
            <m:sSubPr>
              <m:ctrlPr>
                <w:rPr>
                  <w:rFonts w:hint="default" w:ascii="DejaVu Math TeX Gyre" w:hAnsi="DejaVu Math TeX Gyre" w:cs="Times New Roman"/>
                  <w:sz w:val="24"/>
                  <w:lang w:val="en-US" w:eastAsia="zh-CN" w:bidi="ar-SA"/>
                </w:rPr>
              </m:ctrlPr>
            </m:sSubPr>
            <m:e>
              <m:r>
                <m:rPr/>
                <w:rPr>
                  <w:rFonts w:hint="default" w:ascii="DejaVu Math TeX Gyre" w:hAnsi="DejaVu Math TeX Gyre" w:cs="Times New Roman"/>
                  <w:sz w:val="24"/>
                  <w:lang w:val="en-US" w:eastAsia="zh-CN" w:bidi="ar-SA"/>
                </w:rPr>
                <m:t>R</m:t>
              </m:r>
              <m:ctrlPr>
                <w:rPr>
                  <w:rFonts w:hint="default" w:ascii="DejaVu Math TeX Gyre" w:hAnsi="DejaVu Math TeX Gyre" w:cs="Times New Roman"/>
                  <w:sz w:val="24"/>
                  <w:lang w:val="en-US" w:eastAsia="zh-CN" w:bidi="ar-SA"/>
                </w:rPr>
              </m:ctrlPr>
            </m:e>
            <m:sub>
              <m:r>
                <m:rPr>
                  <m:sty m:val="p"/>
                </m:rPr>
                <w:rPr>
                  <w:rFonts w:hint="default" w:ascii="DejaVu Math TeX Gyre" w:hAnsi="DejaVu Math TeX Gyre" w:cs="Times New Roman"/>
                  <w:sz w:val="24"/>
                  <w:lang w:val="en-US" w:eastAsia="zh-CN" w:bidi="ar-SA"/>
                </w:rPr>
                <m:t>N</m:t>
              </m:r>
              <m:ctrlPr>
                <w:rPr>
                  <w:rFonts w:hint="default" w:ascii="DejaVu Math TeX Gyre" w:hAnsi="DejaVu Math TeX Gyre" w:cs="Times New Roman"/>
                  <w:sz w:val="24"/>
                  <w:lang w:val="en-US" w:eastAsia="zh-CN" w:bidi="ar-SA"/>
                </w:rPr>
              </m:ctrlPr>
            </m:sub>
          </m:sSub>
          <m:r>
            <m:rPr>
              <m:sty m:val="p"/>
            </m:rPr>
            <w:rPr>
              <w:rFonts w:hint="default" w:ascii="DejaVu Math TeX Gyre" w:hAnsi="DejaVu Math TeX Gyre" w:cs="Times New Roman"/>
              <w:sz w:val="24"/>
              <w:lang w:val="en-US" w:eastAsia="zh-CN" w:bidi="ar-SA"/>
            </w:rPr>
            <m:t>=</m:t>
          </m:r>
          <m:f>
            <m:fPr>
              <m:ctrlPr>
                <w:rPr>
                  <w:rFonts w:hint="default" w:ascii="DejaVu Math TeX Gyre" w:hAnsi="DejaVu Math TeX Gyre" w:cs="Times New Roman"/>
                  <w:sz w:val="24"/>
                  <w:lang w:val="en-US" w:eastAsia="zh-CN" w:bidi="ar-SA"/>
                </w:rPr>
              </m:ctrlPr>
            </m:fPr>
            <m:num>
              <m:r>
                <m:rPr>
                  <m:sty m:val="p"/>
                </m:rPr>
                <w:rPr>
                  <w:rFonts w:hint="default" w:ascii="DejaVu Math TeX Gyre" w:hAnsi="DejaVu Math TeX Gyre" w:cs="Times New Roman"/>
                  <w:sz w:val="24"/>
                  <w:lang w:val="en-US" w:eastAsia="zh-CN" w:bidi="ar-SA"/>
                </w:rPr>
                <m:t>固相产物氮的质量</m:t>
              </m:r>
              <m:ctrlPr>
                <w:rPr>
                  <w:rFonts w:hint="default" w:ascii="DejaVu Math TeX Gyre" w:hAnsi="DejaVu Math TeX Gyre" w:cs="Times New Roman"/>
                  <w:sz w:val="24"/>
                  <w:lang w:val="en-US" w:eastAsia="zh-CN" w:bidi="ar-SA"/>
                </w:rPr>
              </m:ctrlPr>
            </m:num>
            <m:den>
              <m:r>
                <m:rPr>
                  <m:sty m:val="p"/>
                </m:rPr>
                <w:rPr>
                  <w:rFonts w:hint="default" w:ascii="DejaVu Math TeX Gyre" w:hAnsi="DejaVu Math TeX Gyre" w:cs="Times New Roman"/>
                  <w:sz w:val="24"/>
                  <w:lang w:val="en-US" w:eastAsia="zh-CN" w:bidi="ar-SA"/>
                </w:rPr>
                <m:t>原料氮的质量</m:t>
              </m:r>
              <m:ctrlPr>
                <w:rPr>
                  <w:rFonts w:hint="default" w:ascii="DejaVu Math TeX Gyre" w:hAnsi="DejaVu Math TeX Gyre" w:cs="Times New Roman"/>
                  <w:sz w:val="24"/>
                  <w:lang w:val="en-US" w:eastAsia="zh-CN" w:bidi="ar-SA"/>
                </w:rPr>
              </m:ctrlPr>
            </m:den>
          </m:f>
          <m:r>
            <m:rPr>
              <m:sty m:val="p"/>
            </m:rPr>
            <w:rPr>
              <w:rFonts w:hint="default" w:ascii="DejaVu Math TeX Gyre" w:hAnsi="DejaVu Math TeX Gyre" w:cs="Times New Roman"/>
              <w:sz w:val="24"/>
              <w:lang w:val="en-US" w:eastAsia="zh-CN" w:bidi="ar-SA"/>
            </w:rPr>
            <m:t>=</m:t>
          </m:r>
          <m:f>
            <m:fPr>
              <m:ctrlPr>
                <w:rPr>
                  <w:rFonts w:hint="default" w:ascii="DejaVu Math TeX Gyre" w:hAnsi="DejaVu Math TeX Gyre" w:cs="Times New Roman"/>
                  <w:sz w:val="24"/>
                  <w:lang w:val="en-US" w:eastAsia="zh-CN" w:bidi="ar-SA"/>
                </w:rPr>
              </m:ctrlPr>
            </m:fPr>
            <m:num>
              <m:sSub>
                <m:sSubPr>
                  <m:ctrlPr>
                    <w:rPr>
                      <w:rFonts w:hint="default" w:ascii="DejaVu Math TeX Gyre" w:hAnsi="DejaVu Math TeX Gyre" w:cs="Times New Roman"/>
                      <w:sz w:val="24"/>
                      <w:lang w:val="en-US" w:eastAsia="zh-CN" w:bidi="ar-SA"/>
                    </w:rPr>
                  </m:ctrlPr>
                </m:sSubPr>
                <m:e>
                  <m:r>
                    <m:rPr/>
                    <w:rPr>
                      <w:rFonts w:hint="default" w:ascii="DejaVu Math TeX Gyre" w:hAnsi="DejaVu Math TeX Gyre" w:cs="Times New Roman"/>
                      <w:sz w:val="24"/>
                      <w:lang w:val="en-US" w:eastAsia="zh-CN" w:bidi="ar-SA"/>
                    </w:rPr>
                    <m:t>M</m:t>
                  </m:r>
                  <m:ctrlPr>
                    <w:rPr>
                      <w:rFonts w:hint="default" w:ascii="DejaVu Math TeX Gyre" w:hAnsi="DejaVu Math TeX Gyre" w:cs="Times New Roman"/>
                      <w:sz w:val="24"/>
                      <w:lang w:val="en-US" w:eastAsia="zh-CN" w:bidi="ar-SA"/>
                    </w:rPr>
                  </m:ctrlPr>
                </m:e>
                <m:sub>
                  <m:r>
                    <m:rPr>
                      <m:sty m:val="p"/>
                    </m:rPr>
                    <w:rPr>
                      <w:rFonts w:hint="default" w:ascii="DejaVu Math TeX Gyre" w:hAnsi="DejaVu Math TeX Gyre" w:cs="Times New Roman"/>
                      <w:sz w:val="24"/>
                      <w:lang w:val="en-US" w:eastAsia="zh-CN" w:bidi="ar-SA"/>
                    </w:rPr>
                    <m:t>sp</m:t>
                  </m:r>
                  <m:ctrlPr>
                    <w:rPr>
                      <w:rFonts w:hint="default" w:ascii="DejaVu Math TeX Gyre" w:hAnsi="DejaVu Math TeX Gyre" w:cs="Times New Roman"/>
                      <w:sz w:val="24"/>
                      <w:lang w:val="en-US" w:eastAsia="zh-CN" w:bidi="ar-SA"/>
                    </w:rPr>
                  </m:ctrlPr>
                </m:sub>
              </m:sSub>
              <m:sSub>
                <m:sSubPr>
                  <m:ctrlPr>
                    <w:rPr>
                      <w:rFonts w:hint="default" w:ascii="DejaVu Math TeX Gyre" w:hAnsi="DejaVu Math TeX Gyre" w:cs="Times New Roman"/>
                      <w:sz w:val="24"/>
                      <w:lang w:val="en-US" w:eastAsia="zh-CN" w:bidi="ar-SA"/>
                    </w:rPr>
                  </m:ctrlPr>
                </m:sSubPr>
                <m:e>
                  <m:r>
                    <m:rPr/>
                    <w:rPr>
                      <w:rFonts w:hint="default" w:ascii="DejaVu Math TeX Gyre" w:hAnsi="DejaVu Math TeX Gyre" w:cs="Times New Roman"/>
                      <w:sz w:val="24"/>
                      <w:lang w:val="en-US" w:eastAsia="zh-CN" w:bidi="ar-SA"/>
                    </w:rPr>
                    <m:t>N</m:t>
                  </m:r>
                  <m:ctrlPr>
                    <w:rPr>
                      <w:rFonts w:hint="default" w:ascii="DejaVu Math TeX Gyre" w:hAnsi="DejaVu Math TeX Gyre" w:cs="Times New Roman"/>
                      <w:sz w:val="24"/>
                      <w:lang w:val="en-US" w:eastAsia="zh-CN" w:bidi="ar-SA"/>
                    </w:rPr>
                  </m:ctrlPr>
                </m:e>
                <m:sub>
                  <m:r>
                    <m:rPr>
                      <m:sty m:val="p"/>
                    </m:rPr>
                    <w:rPr>
                      <w:rFonts w:hint="default" w:ascii="DejaVu Math TeX Gyre" w:hAnsi="DejaVu Math TeX Gyre" w:cs="Times New Roman"/>
                      <w:sz w:val="24"/>
                      <w:lang w:val="en-US" w:eastAsia="zh-CN" w:bidi="ar-SA"/>
                    </w:rPr>
                    <m:t>sp</m:t>
                  </m:r>
                  <m:ctrlPr>
                    <w:rPr>
                      <w:rFonts w:hint="default" w:ascii="DejaVu Math TeX Gyre" w:hAnsi="DejaVu Math TeX Gyre" w:cs="Times New Roman"/>
                      <w:sz w:val="24"/>
                      <w:lang w:val="en-US" w:eastAsia="zh-CN" w:bidi="ar-SA"/>
                    </w:rPr>
                  </m:ctrlPr>
                </m:sub>
              </m:sSub>
              <m:ctrlPr>
                <w:rPr>
                  <w:rFonts w:hint="default" w:ascii="DejaVu Math TeX Gyre" w:hAnsi="DejaVu Math TeX Gyre" w:cs="Times New Roman"/>
                  <w:sz w:val="24"/>
                  <w:lang w:val="en-US" w:eastAsia="zh-CN" w:bidi="ar-SA"/>
                </w:rPr>
              </m:ctrlPr>
            </m:num>
            <m:den>
              <m:sSub>
                <m:sSubPr>
                  <m:ctrlPr>
                    <w:rPr>
                      <w:rFonts w:hint="default" w:ascii="DejaVu Math TeX Gyre" w:hAnsi="DejaVu Math TeX Gyre" w:cs="Times New Roman"/>
                      <w:sz w:val="24"/>
                      <w:lang w:val="en-US" w:eastAsia="zh-CN" w:bidi="ar-SA"/>
                    </w:rPr>
                  </m:ctrlPr>
                </m:sSubPr>
                <m:e>
                  <m:r>
                    <m:rPr/>
                    <w:rPr>
                      <w:rFonts w:hint="default" w:ascii="DejaVu Math TeX Gyre" w:hAnsi="DejaVu Math TeX Gyre" w:cs="Times New Roman"/>
                      <w:sz w:val="24"/>
                      <w:lang w:val="en-US" w:eastAsia="zh-CN" w:bidi="ar-SA"/>
                    </w:rPr>
                    <m:t>M</m:t>
                  </m:r>
                  <m:ctrlPr>
                    <w:rPr>
                      <w:rFonts w:hint="default" w:ascii="DejaVu Math TeX Gyre" w:hAnsi="DejaVu Math TeX Gyre" w:cs="Times New Roman"/>
                      <w:sz w:val="24"/>
                      <w:lang w:val="en-US" w:eastAsia="zh-CN" w:bidi="ar-SA"/>
                    </w:rPr>
                  </m:ctrlPr>
                </m:e>
                <m:sub>
                  <m:r>
                    <m:rPr>
                      <m:sty m:val="p"/>
                    </m:rPr>
                    <w:rPr>
                      <w:rFonts w:hint="default" w:ascii="DejaVu Math TeX Gyre" w:hAnsi="DejaVu Math TeX Gyre" w:cs="Times New Roman"/>
                      <w:sz w:val="24"/>
                      <w:lang w:val="en-US" w:eastAsia="zh-CN" w:bidi="ar-SA"/>
                    </w:rPr>
                    <m:t>raw</m:t>
                  </m:r>
                  <m:ctrlPr>
                    <w:rPr>
                      <w:rFonts w:hint="default" w:ascii="DejaVu Math TeX Gyre" w:hAnsi="DejaVu Math TeX Gyre" w:cs="Times New Roman"/>
                      <w:sz w:val="24"/>
                      <w:lang w:val="en-US" w:eastAsia="zh-CN" w:bidi="ar-SA"/>
                    </w:rPr>
                  </m:ctrlPr>
                </m:sub>
              </m:sSub>
              <m:sSub>
                <m:sSubPr>
                  <m:ctrlPr>
                    <w:rPr>
                      <w:rFonts w:hint="default" w:ascii="DejaVu Math TeX Gyre" w:hAnsi="DejaVu Math TeX Gyre" w:cs="Times New Roman"/>
                      <w:sz w:val="24"/>
                      <w:lang w:val="en-US" w:eastAsia="zh-CN" w:bidi="ar-SA"/>
                    </w:rPr>
                  </m:ctrlPr>
                </m:sSubPr>
                <m:e>
                  <m:r>
                    <m:rPr/>
                    <w:rPr>
                      <w:rFonts w:hint="default" w:ascii="DejaVu Math TeX Gyre" w:hAnsi="DejaVu Math TeX Gyre" w:cs="Times New Roman"/>
                      <w:sz w:val="24"/>
                      <w:lang w:val="en-US" w:eastAsia="zh-CN" w:bidi="ar-SA"/>
                    </w:rPr>
                    <m:t>N</m:t>
                  </m:r>
                  <m:ctrlPr>
                    <w:rPr>
                      <w:rFonts w:hint="default" w:ascii="DejaVu Math TeX Gyre" w:hAnsi="DejaVu Math TeX Gyre" w:cs="Times New Roman"/>
                      <w:sz w:val="24"/>
                      <w:lang w:val="en-US" w:eastAsia="zh-CN" w:bidi="ar-SA"/>
                    </w:rPr>
                  </m:ctrlPr>
                </m:e>
                <m:sub>
                  <m:r>
                    <m:rPr>
                      <m:sty m:val="p"/>
                    </m:rPr>
                    <w:rPr>
                      <w:rFonts w:hint="default" w:ascii="DejaVu Math TeX Gyre" w:hAnsi="DejaVu Math TeX Gyre" w:cs="Times New Roman"/>
                      <w:sz w:val="24"/>
                      <w:lang w:val="en-US" w:eastAsia="zh-CN" w:bidi="ar-SA"/>
                    </w:rPr>
                    <m:t>raw</m:t>
                  </m:r>
                  <m:ctrlPr>
                    <w:rPr>
                      <w:rFonts w:hint="default" w:ascii="DejaVu Math TeX Gyre" w:hAnsi="DejaVu Math TeX Gyre" w:cs="Times New Roman"/>
                      <w:sz w:val="24"/>
                      <w:lang w:val="en-US" w:eastAsia="zh-CN" w:bidi="ar-SA"/>
                    </w:rPr>
                  </m:ctrlPr>
                </m:sub>
              </m:sSub>
              <m:ctrlPr>
                <w:rPr>
                  <w:rFonts w:hint="default" w:ascii="DejaVu Math TeX Gyre" w:hAnsi="DejaVu Math TeX Gyre" w:cs="Times New Roman"/>
                  <w:sz w:val="24"/>
                  <w:lang w:val="en-US" w:eastAsia="zh-CN" w:bidi="ar-SA"/>
                </w:rPr>
              </m:ctrlPr>
            </m:den>
          </m:f>
          <m:r>
            <m:rPr>
              <m:sty m:val="p"/>
            </m:rPr>
            <w:rPr>
              <w:rFonts w:ascii="DejaVu Math TeX Gyre" w:hAnsi="DejaVu Math TeX Gyre" w:cs="Times New Roman"/>
              <w:sz w:val="24"/>
              <w:lang w:val="en-US" w:bidi="ar-SA"/>
            </w:rPr>
            <m:t>×</m:t>
          </m:r>
          <m:r>
            <m:rPr>
              <m:sty m:val="p"/>
            </m:rPr>
            <w:rPr>
              <w:rFonts w:hint="default" w:ascii="DejaVu Math TeX Gyre" w:hAnsi="DejaVu Math TeX Gyre" w:cs="Times New Roman"/>
              <w:sz w:val="24"/>
              <w:lang w:val="en-US" w:eastAsia="zh-CN" w:bidi="ar-SA"/>
            </w:rPr>
            <m:t>100</m:t>
          </m:r>
          <m:r>
            <m:rPr>
              <m:sty m:val="p"/>
            </m:rPr>
            <w:rPr>
              <w:rFonts w:ascii="DejaVu Math TeX Gyre" w:hAnsi="DejaVu Math TeX Gyre" w:cs="Times New Roman"/>
              <w:sz w:val="24"/>
              <w:lang w:val="en-US" w:bidi="ar-SA"/>
            </w:rPr>
            <m:t>%</m:t>
          </m:r>
          <m:r>
            <m:rPr>
              <m:sty m:val="p"/>
            </m:rPr>
            <w:rPr>
              <w:rFonts w:hint="default" w:ascii="DejaVu Math TeX Gyre" w:hAnsi="DejaVu Math TeX Gyre" w:cs="Times New Roman"/>
              <w:sz w:val="24"/>
              <w:lang w:val="en-US" w:eastAsia="zh-CN" w:bidi="ar-SA"/>
            </w:rPr>
            <m:t xml:space="preserve">                 （1）</m:t>
          </m:r>
        </m:oMath>
      </m:oMathPara>
    </w:p>
    <w:p>
      <w:pPr>
        <w:spacing w:line="440" w:lineRule="exact"/>
        <w:ind w:firstLine="480" w:firstLineChars="200"/>
        <w:jc w:val="both"/>
      </w:pPr>
      <w:r>
        <w:rPr>
          <w:rFonts w:hint="eastAsia"/>
        </w:rPr>
        <w:t>其中，</w:t>
      </w:r>
      <w:r>
        <w:rPr>
          <w:i/>
          <w:iCs/>
        </w:rPr>
        <w:t>R</w:t>
      </w:r>
      <w:r>
        <w:rPr>
          <w:vertAlign w:val="subscript"/>
        </w:rPr>
        <w:t>N</w:t>
      </w:r>
      <w:r>
        <w:rPr>
          <w:rFonts w:hint="eastAsia"/>
          <w:vertAlign w:val="subscript"/>
        </w:rPr>
        <w:t xml:space="preserve"> </w:t>
      </w:r>
      <w:r>
        <w:rPr>
          <w:rFonts w:hint="eastAsia"/>
        </w:rPr>
        <w:t>为固相产物中的固氮率；</w:t>
      </w:r>
      <w:r>
        <w:rPr>
          <w:i/>
          <w:iCs/>
        </w:rPr>
        <w:t>M</w:t>
      </w:r>
      <w:r>
        <w:rPr>
          <w:vertAlign w:val="subscript"/>
        </w:rPr>
        <w:t>sp</w:t>
      </w:r>
      <w:r>
        <w:rPr>
          <w:rFonts w:hint="eastAsia"/>
          <w:vertAlign w:val="subscript"/>
        </w:rPr>
        <w:t xml:space="preserve"> </w:t>
      </w:r>
      <w:r>
        <w:rPr>
          <w:rFonts w:hint="eastAsia"/>
        </w:rPr>
        <w:t>为固相产物的质量；</w:t>
      </w:r>
      <w:r>
        <w:rPr>
          <w:rFonts w:hint="eastAsia"/>
          <w:i/>
          <w:iCs/>
        </w:rPr>
        <w:t>N</w:t>
      </w:r>
      <w:r>
        <w:rPr>
          <w:rFonts w:hint="eastAsia"/>
          <w:vertAlign w:val="subscript"/>
        </w:rPr>
        <w:t xml:space="preserve">sp </w:t>
      </w:r>
      <w:r>
        <w:rPr>
          <w:rFonts w:hint="eastAsia"/>
        </w:rPr>
        <w:t>为固相产物中的氮质量分数；</w:t>
      </w:r>
      <w:r>
        <w:rPr>
          <w:i/>
          <w:iCs/>
        </w:rPr>
        <w:t>M</w:t>
      </w:r>
      <w:r>
        <w:rPr>
          <w:rFonts w:hint="eastAsia"/>
          <w:vertAlign w:val="subscript"/>
        </w:rPr>
        <w:t xml:space="preserve">raw </w:t>
      </w:r>
      <w:r>
        <w:rPr>
          <w:rFonts w:hint="eastAsia"/>
        </w:rPr>
        <w:t>为原料的质量；</w:t>
      </w:r>
      <w:r>
        <w:rPr>
          <w:rFonts w:hint="eastAsia"/>
          <w:i/>
          <w:iCs/>
        </w:rPr>
        <w:t>N</w:t>
      </w:r>
      <w:r>
        <w:rPr>
          <w:rFonts w:hint="eastAsia"/>
          <w:vertAlign w:val="subscript"/>
        </w:rPr>
        <w:t xml:space="preserve">raw </w:t>
      </w:r>
      <w:r>
        <w:rPr>
          <w:rFonts w:hint="eastAsia"/>
        </w:rPr>
        <w:t>为原料中氮的质量分数。</w:t>
      </w:r>
    </w:p>
    <w:p>
      <w:pPr>
        <w:spacing w:line="440" w:lineRule="exact"/>
        <w:ind w:firstLine="480" w:firstLineChars="200"/>
        <w:rPr>
          <w:rFonts w:hint="eastAsia"/>
        </w:rPr>
      </w:pPr>
    </w:p>
    <w:p>
      <w:pPr>
        <w:pStyle w:val="3"/>
      </w:pPr>
      <w:bookmarkStart w:id="28" w:name="_Toc166234355"/>
      <w:bookmarkStart w:id="29" w:name="_Toc166450078"/>
      <w:r>
        <w:rPr>
          <w:rFonts w:hint="eastAsia"/>
        </w:rPr>
        <w:t>2.3  测试结果分析</w:t>
      </w:r>
      <w:bookmarkEnd w:id="28"/>
      <w:bookmarkEnd w:id="29"/>
    </w:p>
    <w:p>
      <w:pPr>
        <w:pStyle w:val="4"/>
      </w:pPr>
      <w:bookmarkStart w:id="30" w:name="_Toc166450079"/>
      <w:bookmarkStart w:id="31" w:name="_Toc166234356"/>
      <w:r>
        <w:rPr>
          <w:rFonts w:hint="eastAsia"/>
        </w:rPr>
        <w:t>2.3.1</w:t>
      </w:r>
      <w:r>
        <w:t xml:space="preserve">  </w:t>
      </w:r>
      <w:r>
        <w:rPr>
          <w:rFonts w:hint="eastAsia"/>
        </w:rPr>
        <w:t>木糖与水热液反应固相产物得率</w:t>
      </w:r>
      <w:bookmarkEnd w:id="30"/>
      <w:bookmarkEnd w:id="31"/>
    </w:p>
    <w:p>
      <w:pPr>
        <w:pStyle w:val="6"/>
        <w:spacing w:line="440" w:lineRule="exact"/>
        <w:ind w:firstLine="480" w:firstLineChars="200"/>
      </w:pPr>
      <w:r>
        <w:rPr>
          <w:rFonts w:hint="eastAsia"/>
        </w:rPr>
        <w:t>根据</w:t>
      </w:r>
      <w:r>
        <w:rPr>
          <w:rFonts w:hint="eastAsia"/>
          <w:lang w:bidi="ar"/>
        </w:rPr>
        <w:t>UV</w:t>
      </w:r>
      <w:r>
        <w:rPr>
          <w:rFonts w:hint="eastAsia"/>
        </w:rPr>
        <w:t>测试的结果，每1 mL水热液的含氮量是2.84 mg。一次实验中使用的水热液体积为40 mL，则表明一次实验中水热液原料中的总氮质量为113.6</w:t>
      </w:r>
      <w:r>
        <w:t>0</w:t>
      </w:r>
      <w:r>
        <w:rPr>
          <w:rFonts w:hint="eastAsia"/>
        </w:rPr>
        <w:t xml:space="preserve"> mg。</w:t>
      </w:r>
    </w:p>
    <w:p>
      <w:pPr>
        <w:spacing w:line="440" w:lineRule="exact"/>
        <w:ind w:firstLine="480" w:firstLineChars="200"/>
        <w:jc w:val="both"/>
      </w:pPr>
      <w:r>
        <w:rPr>
          <w:rFonts w:hint="eastAsia"/>
        </w:rPr>
        <w:t>综合以上测试分析与实验实测相关数据，木糖与水热液反应产物分析见表</w:t>
      </w:r>
      <w:r>
        <w:rPr>
          <w:rFonts w:hint="eastAsia"/>
          <w:lang w:val="en-US" w:eastAsia="zh-CN"/>
        </w:rPr>
        <w:t>2-</w:t>
      </w:r>
      <w:r>
        <w:rPr>
          <w:rFonts w:hint="eastAsia"/>
        </w:rPr>
        <w:t>3。</w:t>
      </w:r>
    </w:p>
    <w:p>
      <w:pPr>
        <w:spacing w:line="440" w:lineRule="exact"/>
        <w:ind w:firstLine="480" w:firstLineChars="200"/>
        <w:jc w:val="both"/>
        <w:rPr>
          <w:rFonts w:hint="eastAsia"/>
        </w:rPr>
      </w:pPr>
    </w:p>
    <w:p>
      <w:pPr>
        <w:jc w:val="center"/>
        <w:rPr>
          <w:sz w:val="21"/>
          <w:szCs w:val="21"/>
        </w:rPr>
      </w:pPr>
      <w:r>
        <w:rPr>
          <w:rFonts w:hint="eastAsia"/>
          <w:sz w:val="21"/>
          <w:szCs w:val="21"/>
        </w:rPr>
        <w:t>表</w:t>
      </w:r>
      <w:r>
        <w:rPr>
          <w:rFonts w:hint="eastAsia"/>
          <w:sz w:val="21"/>
          <w:szCs w:val="21"/>
          <w:lang w:val="en-US" w:eastAsia="zh-CN"/>
        </w:rPr>
        <w:t>2-</w:t>
      </w:r>
      <w:r>
        <w:rPr>
          <w:rFonts w:hint="eastAsia"/>
          <w:sz w:val="21"/>
          <w:szCs w:val="21"/>
        </w:rPr>
        <w:t>3  木糖与水热液反应产物分析</w:t>
      </w:r>
    </w:p>
    <w:p>
      <w:pPr>
        <w:jc w:val="center"/>
        <w:rPr>
          <w:sz w:val="21"/>
          <w:szCs w:val="21"/>
        </w:rPr>
      </w:pPr>
      <w:r>
        <w:rPr>
          <w:rFonts w:hint="eastAsia"/>
          <w:sz w:val="21"/>
          <w:szCs w:val="21"/>
        </w:rPr>
        <w:t>Tab</w:t>
      </w:r>
      <w:r>
        <w:rPr>
          <w:sz w:val="21"/>
          <w:szCs w:val="21"/>
        </w:rPr>
        <w:t>.</w:t>
      </w:r>
      <w:r>
        <w:rPr>
          <w:rFonts w:hint="eastAsia"/>
          <w:sz w:val="21"/>
          <w:szCs w:val="21"/>
          <w:lang w:val="en-US" w:eastAsia="zh-CN"/>
        </w:rPr>
        <w:t>2-</w:t>
      </w:r>
      <w:r>
        <w:rPr>
          <w:rFonts w:hint="eastAsia"/>
          <w:sz w:val="21"/>
          <w:szCs w:val="21"/>
        </w:rPr>
        <w:t>3</w:t>
      </w:r>
      <w:r>
        <w:rPr>
          <w:sz w:val="21"/>
          <w:szCs w:val="21"/>
        </w:rPr>
        <w:t xml:space="preserve">  Analysis of reaction products between xylose and hydrothermal solution</w:t>
      </w:r>
    </w:p>
    <w:p>
      <w:pPr>
        <w:jc w:val="center"/>
      </w:pPr>
    </w:p>
    <w:tbl>
      <w:tblPr>
        <w:tblStyle w:val="1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2"/>
        <w:gridCol w:w="1250"/>
        <w:gridCol w:w="1251"/>
        <w:gridCol w:w="1251"/>
        <w:gridCol w:w="1251"/>
        <w:gridCol w:w="1251"/>
        <w:gridCol w:w="1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pct"/>
            <w:tcBorders>
              <w:top w:val="single" w:color="auto" w:sz="12" w:space="0"/>
              <w:left w:val="nil"/>
              <w:bottom w:val="single" w:color="auto" w:sz="4" w:space="0"/>
              <w:right w:val="nil"/>
            </w:tcBorders>
            <w:vAlign w:val="center"/>
          </w:tcPr>
          <w:p>
            <w:pPr>
              <w:widowControl w:val="0"/>
              <w:jc w:val="center"/>
            </w:pPr>
            <w:r>
              <w:rPr>
                <w:rFonts w:hint="eastAsia"/>
              </w:rPr>
              <w:t>条件</w:t>
            </w:r>
          </w:p>
        </w:tc>
        <w:tc>
          <w:tcPr>
            <w:tcW w:w="661" w:type="pct"/>
            <w:tcBorders>
              <w:top w:val="single" w:color="auto" w:sz="12" w:space="0"/>
              <w:left w:val="nil"/>
              <w:bottom w:val="single" w:color="auto" w:sz="4" w:space="0"/>
              <w:right w:val="nil"/>
            </w:tcBorders>
            <w:vAlign w:val="center"/>
          </w:tcPr>
          <w:p>
            <w:pPr>
              <w:widowControl w:val="0"/>
              <w:jc w:val="center"/>
            </w:pPr>
            <w:r>
              <w:t>180°C</w:t>
            </w:r>
            <w:r>
              <w:rPr>
                <w:rFonts w:hint="eastAsia"/>
              </w:rPr>
              <w:t>-2h</w:t>
            </w:r>
          </w:p>
        </w:tc>
        <w:tc>
          <w:tcPr>
            <w:tcW w:w="661" w:type="pct"/>
            <w:tcBorders>
              <w:top w:val="single" w:color="auto" w:sz="12" w:space="0"/>
              <w:left w:val="nil"/>
              <w:bottom w:val="single" w:color="auto" w:sz="4" w:space="0"/>
              <w:right w:val="nil"/>
            </w:tcBorders>
            <w:vAlign w:val="center"/>
          </w:tcPr>
          <w:p>
            <w:pPr>
              <w:widowControl w:val="0"/>
              <w:jc w:val="center"/>
            </w:pPr>
            <w:r>
              <w:rPr>
                <w:rFonts w:hint="eastAsia"/>
              </w:rPr>
              <w:t>2</w:t>
            </w:r>
            <w:r>
              <w:t>0</w:t>
            </w:r>
            <w:r>
              <w:rPr>
                <w:rFonts w:hint="eastAsia"/>
              </w:rPr>
              <w:t>0</w:t>
            </w:r>
            <w:r>
              <w:t>°C</w:t>
            </w:r>
            <w:r>
              <w:rPr>
                <w:rFonts w:hint="eastAsia"/>
              </w:rPr>
              <w:t>-2h</w:t>
            </w:r>
          </w:p>
        </w:tc>
        <w:tc>
          <w:tcPr>
            <w:tcW w:w="661" w:type="pct"/>
            <w:tcBorders>
              <w:top w:val="single" w:color="auto" w:sz="12" w:space="0"/>
              <w:left w:val="nil"/>
              <w:bottom w:val="single" w:color="auto" w:sz="4" w:space="0"/>
              <w:right w:val="nil"/>
            </w:tcBorders>
            <w:vAlign w:val="center"/>
          </w:tcPr>
          <w:p>
            <w:pPr>
              <w:widowControl w:val="0"/>
              <w:jc w:val="center"/>
            </w:pPr>
            <w:r>
              <w:rPr>
                <w:rFonts w:hint="eastAsia"/>
              </w:rPr>
              <w:t>2</w:t>
            </w:r>
            <w:r>
              <w:t>2</w:t>
            </w:r>
            <w:r>
              <w:rPr>
                <w:rFonts w:hint="eastAsia"/>
              </w:rPr>
              <w:t>0</w:t>
            </w:r>
            <w:r>
              <w:t>°C</w:t>
            </w:r>
            <w:r>
              <w:rPr>
                <w:rFonts w:hint="eastAsia"/>
              </w:rPr>
              <w:t>-2h</w:t>
            </w:r>
          </w:p>
        </w:tc>
        <w:tc>
          <w:tcPr>
            <w:tcW w:w="661" w:type="pct"/>
            <w:tcBorders>
              <w:top w:val="single" w:color="auto" w:sz="12" w:space="0"/>
              <w:left w:val="nil"/>
              <w:bottom w:val="single" w:color="auto" w:sz="4" w:space="0"/>
              <w:right w:val="nil"/>
            </w:tcBorders>
            <w:vAlign w:val="center"/>
          </w:tcPr>
          <w:p>
            <w:pPr>
              <w:widowControl w:val="0"/>
              <w:jc w:val="center"/>
            </w:pPr>
            <w:r>
              <w:rPr>
                <w:rFonts w:hint="eastAsia"/>
              </w:rPr>
              <w:t>240</w:t>
            </w:r>
            <w:r>
              <w:t>°C</w:t>
            </w:r>
            <w:r>
              <w:rPr>
                <w:rFonts w:hint="eastAsia"/>
              </w:rPr>
              <w:t>-2h</w:t>
            </w:r>
          </w:p>
        </w:tc>
        <w:tc>
          <w:tcPr>
            <w:tcW w:w="661" w:type="pct"/>
            <w:tcBorders>
              <w:top w:val="single" w:color="auto" w:sz="12" w:space="0"/>
              <w:left w:val="nil"/>
              <w:bottom w:val="single" w:color="auto" w:sz="4" w:space="0"/>
              <w:right w:val="nil"/>
            </w:tcBorders>
            <w:vAlign w:val="center"/>
          </w:tcPr>
          <w:p>
            <w:pPr>
              <w:widowControl w:val="0"/>
              <w:jc w:val="center"/>
            </w:pPr>
            <w:r>
              <w:rPr>
                <w:rFonts w:hint="eastAsia"/>
              </w:rPr>
              <w:t>2</w:t>
            </w:r>
            <w:r>
              <w:t>6</w:t>
            </w:r>
            <w:r>
              <w:rPr>
                <w:rFonts w:hint="eastAsia"/>
              </w:rPr>
              <w:t>0</w:t>
            </w:r>
            <w:r>
              <w:t>°C</w:t>
            </w:r>
            <w:r>
              <w:rPr>
                <w:rFonts w:hint="eastAsia"/>
              </w:rPr>
              <w:t>-2h</w:t>
            </w:r>
          </w:p>
        </w:tc>
        <w:tc>
          <w:tcPr>
            <w:tcW w:w="661" w:type="pct"/>
            <w:tcBorders>
              <w:top w:val="single" w:color="auto" w:sz="12" w:space="0"/>
              <w:left w:val="nil"/>
              <w:bottom w:val="single" w:color="auto" w:sz="4" w:space="0"/>
              <w:right w:val="nil"/>
            </w:tcBorders>
            <w:vAlign w:val="center"/>
          </w:tcPr>
          <w:p>
            <w:pPr>
              <w:widowControl w:val="0"/>
              <w:jc w:val="center"/>
            </w:pPr>
            <w:r>
              <w:rPr>
                <w:rFonts w:hint="eastAsia"/>
              </w:rPr>
              <w:t>2</w:t>
            </w:r>
            <w:r>
              <w:t>8</w:t>
            </w:r>
            <w:r>
              <w:rPr>
                <w:rFonts w:hint="eastAsia"/>
              </w:rPr>
              <w:t>0</w:t>
            </w:r>
            <w:r>
              <w:t>°C</w:t>
            </w:r>
            <w:r>
              <w:rPr>
                <w:rFonts w:hint="eastAsia"/>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pct"/>
            <w:tcBorders>
              <w:top w:val="single" w:color="auto" w:sz="4" w:space="0"/>
              <w:left w:val="nil"/>
              <w:bottom w:val="nil"/>
              <w:right w:val="nil"/>
            </w:tcBorders>
            <w:vAlign w:val="center"/>
          </w:tcPr>
          <w:p>
            <w:pPr>
              <w:widowControl w:val="0"/>
              <w:jc w:val="center"/>
            </w:pPr>
            <w:r>
              <w:rPr>
                <w:rFonts w:hint="eastAsia"/>
              </w:rPr>
              <w:t>升温时间</w:t>
            </w:r>
            <w:r>
              <w:rPr>
                <w:rFonts w:hint="default"/>
                <w:lang w:val="en-US"/>
              </w:rPr>
              <w:t xml:space="preserve"> </w:t>
            </w:r>
            <w:r>
              <w:t>(min)</w:t>
            </w:r>
          </w:p>
        </w:tc>
        <w:tc>
          <w:tcPr>
            <w:tcW w:w="661" w:type="pct"/>
            <w:tcBorders>
              <w:top w:val="single" w:color="auto" w:sz="4" w:space="0"/>
              <w:left w:val="nil"/>
              <w:bottom w:val="nil"/>
              <w:right w:val="nil"/>
            </w:tcBorders>
            <w:vAlign w:val="center"/>
          </w:tcPr>
          <w:p>
            <w:pPr>
              <w:widowControl w:val="0"/>
              <w:jc w:val="center"/>
            </w:pPr>
            <w:r>
              <w:t>20</w:t>
            </w:r>
          </w:p>
        </w:tc>
        <w:tc>
          <w:tcPr>
            <w:tcW w:w="661" w:type="pct"/>
            <w:tcBorders>
              <w:top w:val="single" w:color="auto" w:sz="4" w:space="0"/>
              <w:left w:val="nil"/>
              <w:bottom w:val="nil"/>
              <w:right w:val="nil"/>
            </w:tcBorders>
            <w:vAlign w:val="center"/>
          </w:tcPr>
          <w:p>
            <w:pPr>
              <w:widowControl w:val="0"/>
              <w:jc w:val="center"/>
            </w:pPr>
            <w:r>
              <w:t>25</w:t>
            </w:r>
          </w:p>
        </w:tc>
        <w:tc>
          <w:tcPr>
            <w:tcW w:w="661" w:type="pct"/>
            <w:tcBorders>
              <w:top w:val="single" w:color="auto" w:sz="4" w:space="0"/>
              <w:left w:val="nil"/>
              <w:bottom w:val="nil"/>
              <w:right w:val="nil"/>
            </w:tcBorders>
            <w:vAlign w:val="center"/>
          </w:tcPr>
          <w:p>
            <w:pPr>
              <w:widowControl w:val="0"/>
              <w:jc w:val="center"/>
            </w:pPr>
            <w:r>
              <w:t>28</w:t>
            </w:r>
          </w:p>
        </w:tc>
        <w:tc>
          <w:tcPr>
            <w:tcW w:w="661" w:type="pct"/>
            <w:tcBorders>
              <w:top w:val="single" w:color="auto" w:sz="4" w:space="0"/>
              <w:left w:val="nil"/>
              <w:bottom w:val="nil"/>
              <w:right w:val="nil"/>
            </w:tcBorders>
            <w:vAlign w:val="center"/>
          </w:tcPr>
          <w:p>
            <w:pPr>
              <w:widowControl w:val="0"/>
              <w:jc w:val="center"/>
            </w:pPr>
            <w:r>
              <w:t>30</w:t>
            </w:r>
          </w:p>
        </w:tc>
        <w:tc>
          <w:tcPr>
            <w:tcW w:w="661" w:type="pct"/>
            <w:tcBorders>
              <w:top w:val="single" w:color="auto" w:sz="4" w:space="0"/>
              <w:left w:val="nil"/>
              <w:bottom w:val="nil"/>
              <w:right w:val="nil"/>
            </w:tcBorders>
            <w:vAlign w:val="center"/>
          </w:tcPr>
          <w:p>
            <w:pPr>
              <w:widowControl w:val="0"/>
              <w:jc w:val="center"/>
            </w:pPr>
            <w:r>
              <w:t>33</w:t>
            </w:r>
          </w:p>
        </w:tc>
        <w:tc>
          <w:tcPr>
            <w:tcW w:w="661" w:type="pct"/>
            <w:tcBorders>
              <w:top w:val="single" w:color="auto" w:sz="4" w:space="0"/>
              <w:left w:val="nil"/>
              <w:bottom w:val="nil"/>
              <w:right w:val="nil"/>
            </w:tcBorders>
            <w:vAlign w:val="center"/>
          </w:tcPr>
          <w:p>
            <w:pPr>
              <w:widowControl w:val="0"/>
              <w:jc w:val="center"/>
            </w:pPr>
            <w: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pct"/>
            <w:tcBorders>
              <w:top w:val="nil"/>
              <w:left w:val="nil"/>
              <w:bottom w:val="nil"/>
              <w:right w:val="nil"/>
            </w:tcBorders>
            <w:vAlign w:val="center"/>
          </w:tcPr>
          <w:p>
            <w:pPr>
              <w:widowControl w:val="0"/>
              <w:jc w:val="center"/>
            </w:pPr>
            <w:r>
              <w:rPr>
                <w:rFonts w:hint="eastAsia"/>
              </w:rPr>
              <w:t>保温压力</w:t>
            </w:r>
            <w:r>
              <w:rPr>
                <w:rFonts w:hint="default"/>
                <w:lang w:val="en-US"/>
              </w:rPr>
              <w:t xml:space="preserve"> </w:t>
            </w:r>
            <w:r>
              <w:t>(</w:t>
            </w:r>
            <w:r>
              <w:rPr>
                <w:rFonts w:hint="eastAsia"/>
              </w:rPr>
              <w:t>MPa</w:t>
            </w:r>
            <w:r>
              <w:t>)</w:t>
            </w:r>
          </w:p>
        </w:tc>
        <w:tc>
          <w:tcPr>
            <w:tcW w:w="661" w:type="pct"/>
            <w:tcBorders>
              <w:top w:val="nil"/>
              <w:left w:val="nil"/>
              <w:bottom w:val="nil"/>
              <w:right w:val="nil"/>
            </w:tcBorders>
            <w:vAlign w:val="center"/>
          </w:tcPr>
          <w:p>
            <w:pPr>
              <w:widowControl w:val="0"/>
              <w:jc w:val="center"/>
            </w:pPr>
            <w:r>
              <w:t>1.4</w:t>
            </w:r>
          </w:p>
        </w:tc>
        <w:tc>
          <w:tcPr>
            <w:tcW w:w="661" w:type="pct"/>
            <w:tcBorders>
              <w:top w:val="nil"/>
              <w:left w:val="nil"/>
              <w:bottom w:val="nil"/>
              <w:right w:val="nil"/>
            </w:tcBorders>
            <w:vAlign w:val="center"/>
          </w:tcPr>
          <w:p>
            <w:pPr>
              <w:widowControl w:val="0"/>
              <w:jc w:val="center"/>
            </w:pPr>
            <w:r>
              <w:t>1.9</w:t>
            </w:r>
          </w:p>
        </w:tc>
        <w:tc>
          <w:tcPr>
            <w:tcW w:w="661" w:type="pct"/>
            <w:tcBorders>
              <w:top w:val="nil"/>
              <w:left w:val="nil"/>
              <w:bottom w:val="nil"/>
              <w:right w:val="nil"/>
            </w:tcBorders>
            <w:vAlign w:val="center"/>
          </w:tcPr>
          <w:p>
            <w:pPr>
              <w:widowControl w:val="0"/>
              <w:jc w:val="center"/>
            </w:pPr>
            <w:r>
              <w:t>2.6</w:t>
            </w:r>
          </w:p>
        </w:tc>
        <w:tc>
          <w:tcPr>
            <w:tcW w:w="661" w:type="pct"/>
            <w:tcBorders>
              <w:top w:val="nil"/>
              <w:left w:val="nil"/>
              <w:bottom w:val="nil"/>
              <w:right w:val="nil"/>
            </w:tcBorders>
            <w:vAlign w:val="center"/>
          </w:tcPr>
          <w:p>
            <w:pPr>
              <w:widowControl w:val="0"/>
              <w:jc w:val="center"/>
            </w:pPr>
            <w:r>
              <w:t>3.5</w:t>
            </w:r>
          </w:p>
        </w:tc>
        <w:tc>
          <w:tcPr>
            <w:tcW w:w="661" w:type="pct"/>
            <w:tcBorders>
              <w:top w:val="nil"/>
              <w:left w:val="nil"/>
              <w:bottom w:val="nil"/>
              <w:right w:val="nil"/>
            </w:tcBorders>
            <w:vAlign w:val="center"/>
          </w:tcPr>
          <w:p>
            <w:pPr>
              <w:widowControl w:val="0"/>
              <w:jc w:val="center"/>
            </w:pPr>
            <w:r>
              <w:t>4.5</w:t>
            </w:r>
          </w:p>
        </w:tc>
        <w:tc>
          <w:tcPr>
            <w:tcW w:w="661" w:type="pct"/>
            <w:tcBorders>
              <w:top w:val="nil"/>
              <w:left w:val="nil"/>
              <w:bottom w:val="nil"/>
              <w:right w:val="nil"/>
            </w:tcBorders>
            <w:vAlign w:val="center"/>
          </w:tcPr>
          <w:p>
            <w:pPr>
              <w:widowControl w:val="0"/>
              <w:jc w:val="center"/>
            </w:pPr>
            <w: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pct"/>
            <w:tcBorders>
              <w:top w:val="nil"/>
              <w:left w:val="nil"/>
              <w:bottom w:val="nil"/>
              <w:right w:val="nil"/>
            </w:tcBorders>
            <w:vAlign w:val="center"/>
          </w:tcPr>
          <w:p>
            <w:pPr>
              <w:widowControl w:val="0"/>
              <w:jc w:val="center"/>
            </w:pPr>
            <w:r>
              <w:rPr>
                <w:rFonts w:hint="eastAsia"/>
              </w:rPr>
              <w:t>原料称重</w:t>
            </w:r>
            <w:r>
              <w:rPr>
                <w:rFonts w:hint="default"/>
                <w:lang w:val="en-US"/>
              </w:rPr>
              <w:t xml:space="preserve"> </w:t>
            </w:r>
            <w:r>
              <w:t>(g)</w:t>
            </w:r>
          </w:p>
        </w:tc>
        <w:tc>
          <w:tcPr>
            <w:tcW w:w="661" w:type="pct"/>
            <w:tcBorders>
              <w:top w:val="nil"/>
              <w:left w:val="nil"/>
              <w:bottom w:val="nil"/>
              <w:right w:val="nil"/>
            </w:tcBorders>
            <w:vAlign w:val="center"/>
          </w:tcPr>
          <w:p>
            <w:pPr>
              <w:widowControl w:val="0"/>
              <w:jc w:val="center"/>
            </w:pPr>
            <w:r>
              <w:t>3.0002</w:t>
            </w:r>
          </w:p>
        </w:tc>
        <w:tc>
          <w:tcPr>
            <w:tcW w:w="661" w:type="pct"/>
            <w:tcBorders>
              <w:top w:val="nil"/>
              <w:left w:val="nil"/>
              <w:bottom w:val="nil"/>
              <w:right w:val="nil"/>
            </w:tcBorders>
            <w:vAlign w:val="center"/>
          </w:tcPr>
          <w:p>
            <w:pPr>
              <w:widowControl w:val="0"/>
              <w:jc w:val="center"/>
            </w:pPr>
            <w:r>
              <w:t>3.0007</w:t>
            </w:r>
          </w:p>
        </w:tc>
        <w:tc>
          <w:tcPr>
            <w:tcW w:w="661" w:type="pct"/>
            <w:tcBorders>
              <w:top w:val="nil"/>
              <w:left w:val="nil"/>
              <w:bottom w:val="nil"/>
              <w:right w:val="nil"/>
            </w:tcBorders>
            <w:vAlign w:val="center"/>
          </w:tcPr>
          <w:p>
            <w:pPr>
              <w:widowControl w:val="0"/>
              <w:jc w:val="center"/>
            </w:pPr>
            <w:r>
              <w:t>3.0000</w:t>
            </w:r>
          </w:p>
        </w:tc>
        <w:tc>
          <w:tcPr>
            <w:tcW w:w="661" w:type="pct"/>
            <w:tcBorders>
              <w:top w:val="nil"/>
              <w:left w:val="nil"/>
              <w:bottom w:val="nil"/>
              <w:right w:val="nil"/>
            </w:tcBorders>
            <w:vAlign w:val="center"/>
          </w:tcPr>
          <w:p>
            <w:pPr>
              <w:widowControl w:val="0"/>
              <w:jc w:val="center"/>
            </w:pPr>
            <w:r>
              <w:t>3.0005</w:t>
            </w:r>
          </w:p>
        </w:tc>
        <w:tc>
          <w:tcPr>
            <w:tcW w:w="661" w:type="pct"/>
            <w:tcBorders>
              <w:top w:val="nil"/>
              <w:left w:val="nil"/>
              <w:bottom w:val="nil"/>
              <w:right w:val="nil"/>
            </w:tcBorders>
            <w:vAlign w:val="center"/>
          </w:tcPr>
          <w:p>
            <w:pPr>
              <w:widowControl w:val="0"/>
              <w:jc w:val="center"/>
            </w:pPr>
            <w:r>
              <w:t>3.0006</w:t>
            </w:r>
          </w:p>
        </w:tc>
        <w:tc>
          <w:tcPr>
            <w:tcW w:w="661" w:type="pct"/>
            <w:tcBorders>
              <w:top w:val="nil"/>
              <w:left w:val="nil"/>
              <w:bottom w:val="nil"/>
              <w:right w:val="nil"/>
            </w:tcBorders>
            <w:vAlign w:val="center"/>
          </w:tcPr>
          <w:p>
            <w:pPr>
              <w:widowControl w:val="0"/>
              <w:jc w:val="center"/>
            </w:pPr>
            <w:r>
              <w:t>3.0003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pct"/>
            <w:tcBorders>
              <w:top w:val="nil"/>
              <w:left w:val="nil"/>
              <w:bottom w:val="nil"/>
              <w:right w:val="nil"/>
            </w:tcBorders>
            <w:vAlign w:val="center"/>
          </w:tcPr>
          <w:p>
            <w:pPr>
              <w:widowControl w:val="0"/>
              <w:jc w:val="center"/>
            </w:pPr>
            <w:r>
              <w:rPr>
                <w:rFonts w:hint="eastAsia"/>
              </w:rPr>
              <w:t>产物称重</w:t>
            </w:r>
            <w:r>
              <w:rPr>
                <w:rFonts w:hint="default"/>
                <w:lang w:val="en-US"/>
              </w:rPr>
              <w:t xml:space="preserve"> </w:t>
            </w:r>
            <w:r>
              <w:t>(g)</w:t>
            </w:r>
          </w:p>
        </w:tc>
        <w:tc>
          <w:tcPr>
            <w:tcW w:w="661" w:type="pct"/>
            <w:tcBorders>
              <w:top w:val="nil"/>
              <w:left w:val="nil"/>
              <w:bottom w:val="nil"/>
              <w:right w:val="nil"/>
            </w:tcBorders>
            <w:vAlign w:val="center"/>
          </w:tcPr>
          <w:p>
            <w:pPr>
              <w:widowControl w:val="0"/>
              <w:jc w:val="center"/>
            </w:pPr>
            <w:r>
              <w:t>0.7823</w:t>
            </w:r>
          </w:p>
        </w:tc>
        <w:tc>
          <w:tcPr>
            <w:tcW w:w="661" w:type="pct"/>
            <w:tcBorders>
              <w:top w:val="nil"/>
              <w:left w:val="nil"/>
              <w:bottom w:val="nil"/>
              <w:right w:val="nil"/>
            </w:tcBorders>
            <w:vAlign w:val="center"/>
          </w:tcPr>
          <w:p>
            <w:pPr>
              <w:widowControl w:val="0"/>
              <w:jc w:val="center"/>
            </w:pPr>
            <w:r>
              <w:t>0.9248</w:t>
            </w:r>
          </w:p>
        </w:tc>
        <w:tc>
          <w:tcPr>
            <w:tcW w:w="661" w:type="pct"/>
            <w:tcBorders>
              <w:top w:val="nil"/>
              <w:left w:val="nil"/>
              <w:bottom w:val="nil"/>
              <w:right w:val="nil"/>
            </w:tcBorders>
            <w:vAlign w:val="center"/>
          </w:tcPr>
          <w:p>
            <w:pPr>
              <w:widowControl w:val="0"/>
              <w:jc w:val="center"/>
            </w:pPr>
            <w:r>
              <w:t>0.9887</w:t>
            </w:r>
          </w:p>
        </w:tc>
        <w:tc>
          <w:tcPr>
            <w:tcW w:w="661" w:type="pct"/>
            <w:tcBorders>
              <w:top w:val="nil"/>
              <w:left w:val="nil"/>
              <w:bottom w:val="nil"/>
              <w:right w:val="nil"/>
            </w:tcBorders>
            <w:vAlign w:val="center"/>
          </w:tcPr>
          <w:p>
            <w:pPr>
              <w:widowControl w:val="0"/>
              <w:jc w:val="center"/>
            </w:pPr>
            <w:r>
              <w:t>0.9600</w:t>
            </w:r>
          </w:p>
        </w:tc>
        <w:tc>
          <w:tcPr>
            <w:tcW w:w="661" w:type="pct"/>
            <w:tcBorders>
              <w:top w:val="nil"/>
              <w:left w:val="nil"/>
              <w:bottom w:val="nil"/>
              <w:right w:val="nil"/>
            </w:tcBorders>
            <w:vAlign w:val="center"/>
          </w:tcPr>
          <w:p>
            <w:pPr>
              <w:widowControl w:val="0"/>
              <w:jc w:val="center"/>
            </w:pPr>
            <w:r>
              <w:t>0.8680</w:t>
            </w:r>
          </w:p>
        </w:tc>
        <w:tc>
          <w:tcPr>
            <w:tcW w:w="661" w:type="pct"/>
            <w:tcBorders>
              <w:top w:val="nil"/>
              <w:left w:val="nil"/>
              <w:bottom w:val="nil"/>
              <w:right w:val="nil"/>
            </w:tcBorders>
            <w:vAlign w:val="center"/>
          </w:tcPr>
          <w:p>
            <w:pPr>
              <w:widowControl w:val="0"/>
              <w:jc w:val="center"/>
            </w:pPr>
            <w:r>
              <w:t>0.8551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pct"/>
            <w:tcBorders>
              <w:top w:val="nil"/>
              <w:left w:val="nil"/>
              <w:bottom w:val="single" w:color="auto" w:sz="12" w:space="0"/>
              <w:right w:val="nil"/>
            </w:tcBorders>
            <w:vAlign w:val="center"/>
          </w:tcPr>
          <w:p>
            <w:pPr>
              <w:widowControl w:val="0"/>
              <w:jc w:val="center"/>
            </w:pPr>
            <w:r>
              <w:rPr>
                <w:rFonts w:hint="eastAsia"/>
              </w:rPr>
              <w:t>炭得率</w:t>
            </w:r>
            <w:r>
              <w:rPr>
                <w:rFonts w:hint="default"/>
                <w:lang w:val="en-US"/>
              </w:rPr>
              <w:t xml:space="preserve"> </w:t>
            </w:r>
            <w:r>
              <w:t>(%)</w:t>
            </w:r>
          </w:p>
        </w:tc>
        <w:tc>
          <w:tcPr>
            <w:tcW w:w="661" w:type="pct"/>
            <w:tcBorders>
              <w:top w:val="nil"/>
              <w:left w:val="nil"/>
              <w:bottom w:val="single" w:color="auto" w:sz="12" w:space="0"/>
              <w:right w:val="nil"/>
            </w:tcBorders>
            <w:vAlign w:val="center"/>
          </w:tcPr>
          <w:p>
            <w:pPr>
              <w:widowControl w:val="0"/>
              <w:jc w:val="center"/>
            </w:pPr>
            <w:r>
              <w:t>26.08</w:t>
            </w:r>
          </w:p>
        </w:tc>
        <w:tc>
          <w:tcPr>
            <w:tcW w:w="661" w:type="pct"/>
            <w:tcBorders>
              <w:top w:val="nil"/>
              <w:left w:val="nil"/>
              <w:bottom w:val="single" w:color="auto" w:sz="12" w:space="0"/>
              <w:right w:val="nil"/>
            </w:tcBorders>
            <w:vAlign w:val="center"/>
          </w:tcPr>
          <w:p>
            <w:pPr>
              <w:widowControl w:val="0"/>
              <w:jc w:val="center"/>
            </w:pPr>
            <w:r>
              <w:t>30.83</w:t>
            </w:r>
          </w:p>
        </w:tc>
        <w:tc>
          <w:tcPr>
            <w:tcW w:w="661" w:type="pct"/>
            <w:tcBorders>
              <w:top w:val="nil"/>
              <w:left w:val="nil"/>
              <w:bottom w:val="single" w:color="auto" w:sz="12" w:space="0"/>
              <w:right w:val="nil"/>
            </w:tcBorders>
            <w:vAlign w:val="center"/>
          </w:tcPr>
          <w:p>
            <w:pPr>
              <w:widowControl w:val="0"/>
              <w:jc w:val="center"/>
            </w:pPr>
            <w:r>
              <w:t>32.96</w:t>
            </w:r>
          </w:p>
        </w:tc>
        <w:tc>
          <w:tcPr>
            <w:tcW w:w="661" w:type="pct"/>
            <w:tcBorders>
              <w:top w:val="nil"/>
              <w:left w:val="nil"/>
              <w:bottom w:val="single" w:color="auto" w:sz="12" w:space="0"/>
              <w:right w:val="nil"/>
            </w:tcBorders>
            <w:vAlign w:val="center"/>
          </w:tcPr>
          <w:p>
            <w:pPr>
              <w:widowControl w:val="0"/>
              <w:jc w:val="center"/>
            </w:pPr>
            <w:r>
              <w:t>32.00</w:t>
            </w:r>
          </w:p>
        </w:tc>
        <w:tc>
          <w:tcPr>
            <w:tcW w:w="661" w:type="pct"/>
            <w:tcBorders>
              <w:top w:val="nil"/>
              <w:left w:val="nil"/>
              <w:bottom w:val="single" w:color="auto" w:sz="12" w:space="0"/>
              <w:right w:val="nil"/>
            </w:tcBorders>
            <w:vAlign w:val="center"/>
          </w:tcPr>
          <w:p>
            <w:pPr>
              <w:widowControl w:val="0"/>
              <w:jc w:val="center"/>
            </w:pPr>
            <w:r>
              <w:t>28.93</w:t>
            </w:r>
          </w:p>
        </w:tc>
        <w:tc>
          <w:tcPr>
            <w:tcW w:w="661" w:type="pct"/>
            <w:tcBorders>
              <w:top w:val="nil"/>
              <w:left w:val="nil"/>
              <w:bottom w:val="single" w:color="auto" w:sz="12" w:space="0"/>
              <w:right w:val="nil"/>
            </w:tcBorders>
            <w:vAlign w:val="center"/>
          </w:tcPr>
          <w:p>
            <w:pPr>
              <w:widowControl w:val="0"/>
              <w:jc w:val="center"/>
            </w:pPr>
            <w:r>
              <w:t>28.50</w:t>
            </w:r>
          </w:p>
        </w:tc>
      </w:tr>
    </w:tbl>
    <w:p>
      <w:pPr>
        <w:spacing w:line="440" w:lineRule="exact"/>
        <w:ind w:firstLine="480" w:firstLineChars="200"/>
        <w:jc w:val="center"/>
      </w:pPr>
    </w:p>
    <w:p>
      <w:pPr>
        <w:spacing w:line="440" w:lineRule="exact"/>
        <w:ind w:firstLine="480" w:firstLineChars="200"/>
      </w:pPr>
      <w:r>
        <w:rPr>
          <w:rFonts w:hint="eastAsia"/>
        </w:rPr>
        <w:t>根据表</w:t>
      </w:r>
      <w:r>
        <w:rPr>
          <w:rFonts w:hint="eastAsia"/>
          <w:lang w:val="en-US" w:eastAsia="zh-CN"/>
        </w:rPr>
        <w:t>2-</w:t>
      </w:r>
      <w:r>
        <w:rPr>
          <w:rFonts w:hint="eastAsia"/>
        </w:rPr>
        <w:t>3，可绘制出木糖与水热液反应炭得率随着反应温度升高的走势曲线图，见图</w:t>
      </w:r>
      <w:r>
        <w:rPr>
          <w:rFonts w:hint="default"/>
          <w:lang w:val="en-US"/>
        </w:rPr>
        <w:t>2-2</w:t>
      </w:r>
      <w:r>
        <w:rPr>
          <w:rFonts w:hint="eastAsia"/>
        </w:rPr>
        <w:t>。</w:t>
      </w:r>
    </w:p>
    <w:p>
      <w:pPr>
        <w:jc w:val="center"/>
      </w:pPr>
    </w:p>
    <w:p>
      <w:pPr>
        <w:jc w:val="center"/>
        <w:rPr>
          <w:sz w:val="10"/>
          <w:szCs w:val="4"/>
        </w:rPr>
      </w:pPr>
      <w:r>
        <w:drawing>
          <wp:inline distT="0" distB="0" distL="114300" distR="114300">
            <wp:extent cx="4589780" cy="2882900"/>
            <wp:effectExtent l="0" t="0" r="13970"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4589780" cy="2882900"/>
                    </a:xfrm>
                    <a:prstGeom prst="rect">
                      <a:avLst/>
                    </a:prstGeom>
                    <a:noFill/>
                    <a:ln>
                      <a:noFill/>
                    </a:ln>
                  </pic:spPr>
                </pic:pic>
              </a:graphicData>
            </a:graphic>
          </wp:inline>
        </w:drawing>
      </w:r>
    </w:p>
    <w:p>
      <w:pPr>
        <w:jc w:val="center"/>
        <w:rPr>
          <w:sz w:val="21"/>
          <w:szCs w:val="21"/>
        </w:rPr>
      </w:pPr>
      <w:r>
        <w:rPr>
          <w:rFonts w:hint="eastAsia"/>
          <w:sz w:val="21"/>
          <w:szCs w:val="21"/>
        </w:rPr>
        <w:t>图</w:t>
      </w:r>
      <w:r>
        <w:rPr>
          <w:rFonts w:hint="default"/>
          <w:sz w:val="21"/>
          <w:szCs w:val="21"/>
          <w:lang w:val="en-US"/>
        </w:rPr>
        <w:t>2-2</w:t>
      </w:r>
      <w:r>
        <w:rPr>
          <w:rFonts w:hint="eastAsia"/>
          <w:sz w:val="21"/>
          <w:szCs w:val="21"/>
        </w:rPr>
        <w:t xml:space="preserve">  木糖与水热液反应炭得率</w:t>
      </w:r>
    </w:p>
    <w:p>
      <w:pPr>
        <w:jc w:val="center"/>
        <w:rPr>
          <w:sz w:val="21"/>
          <w:szCs w:val="21"/>
        </w:rPr>
      </w:pPr>
      <w:r>
        <w:rPr>
          <w:sz w:val="21"/>
          <w:szCs w:val="21"/>
        </w:rPr>
        <w:t>Fig.</w:t>
      </w:r>
      <w:r>
        <w:rPr>
          <w:rFonts w:hint="default"/>
          <w:sz w:val="21"/>
          <w:szCs w:val="21"/>
          <w:lang w:val="en-US"/>
        </w:rPr>
        <w:t>2-2</w:t>
      </w:r>
      <w:r>
        <w:rPr>
          <w:sz w:val="21"/>
          <w:szCs w:val="21"/>
        </w:rPr>
        <w:t xml:space="preserve">  Char yield of hydrothermal reaction of xylose and hydrothermal solution</w:t>
      </w:r>
    </w:p>
    <w:p>
      <w:pPr>
        <w:spacing w:before="120" w:beforeLines="50" w:after="120" w:afterLines="50" w:line="360" w:lineRule="auto"/>
        <w:ind w:firstLine="480" w:firstLineChars="200"/>
      </w:pPr>
    </w:p>
    <w:p>
      <w:pPr>
        <w:spacing w:line="440" w:lineRule="exact"/>
        <w:ind w:firstLine="480" w:firstLineChars="200"/>
        <w:jc w:val="both"/>
      </w:pPr>
      <w:r>
        <w:rPr>
          <w:rFonts w:hint="eastAsia"/>
        </w:rPr>
        <w:t>图</w:t>
      </w:r>
      <w:r>
        <w:rPr>
          <w:rFonts w:hint="default"/>
          <w:lang w:val="en-US"/>
        </w:rPr>
        <w:t>2-2</w:t>
      </w:r>
      <w:r>
        <w:rPr>
          <w:rFonts w:hint="eastAsia"/>
        </w:rPr>
        <w:t>显示了分别</w:t>
      </w:r>
      <w:r>
        <w:t>在</w:t>
      </w:r>
      <w:r>
        <w:rPr>
          <w:rFonts w:hint="eastAsia"/>
        </w:rPr>
        <w:t xml:space="preserve">180 </w:t>
      </w:r>
      <w:r>
        <w:t>°C至2</w:t>
      </w:r>
      <w:r>
        <w:rPr>
          <w:rFonts w:hint="eastAsia"/>
        </w:rPr>
        <w:t>8</w:t>
      </w:r>
      <w:r>
        <w:t>0</w:t>
      </w:r>
      <w:r>
        <w:rPr>
          <w:rFonts w:hint="eastAsia"/>
        </w:rPr>
        <w:t xml:space="preserve"> </w:t>
      </w:r>
      <w:r>
        <w:t>°C</w:t>
      </w:r>
      <w:r>
        <w:rPr>
          <w:rFonts w:hint="eastAsia" w:ascii="宋体" w:hAnsi="宋体"/>
        </w:rPr>
        <w:t>区间内的</w:t>
      </w:r>
      <w:r>
        <w:t>不同温度下</w:t>
      </w:r>
      <w:r>
        <w:rPr>
          <w:rFonts w:hint="eastAsia"/>
        </w:rPr>
        <w:t>，木糖</w:t>
      </w:r>
      <w:r>
        <w:t>与水热液进行共热的结果，</w:t>
      </w:r>
      <w:r>
        <w:rPr>
          <w:rFonts w:hint="eastAsia"/>
        </w:rPr>
        <w:t>纵轴</w:t>
      </w:r>
      <w:r>
        <w:t>以</w:t>
      </w:r>
      <w:r>
        <w:rPr>
          <w:rFonts w:hint="eastAsia"/>
        </w:rPr>
        <w:t>炭得率</w:t>
      </w:r>
      <w:r>
        <w:t>为指标。从图中可以观察到，在180</w:t>
      </w:r>
      <w:r>
        <w:rPr>
          <w:rFonts w:hint="eastAsia"/>
        </w:rPr>
        <w:t xml:space="preserve"> </w:t>
      </w:r>
      <w:r>
        <w:t>°C至2</w:t>
      </w:r>
      <w:r>
        <w:rPr>
          <w:rFonts w:hint="eastAsia"/>
        </w:rPr>
        <w:t>2</w:t>
      </w:r>
      <w:r>
        <w:t>0</w:t>
      </w:r>
      <w:r>
        <w:rPr>
          <w:rFonts w:hint="eastAsia"/>
        </w:rPr>
        <w:t xml:space="preserve"> </w:t>
      </w:r>
      <w:r>
        <w:t>°C之间，</w:t>
      </w:r>
      <w:r>
        <w:rPr>
          <w:rFonts w:hint="eastAsia"/>
        </w:rPr>
        <w:t>炭得率</w:t>
      </w:r>
      <w:r>
        <w:t>呈</w:t>
      </w:r>
      <w:r>
        <w:rPr>
          <w:rFonts w:hint="eastAsia"/>
        </w:rPr>
        <w:t>显著</w:t>
      </w:r>
      <w:r>
        <w:t>上升趋势；而在2</w:t>
      </w:r>
      <w:r>
        <w:rPr>
          <w:rFonts w:hint="default"/>
          <w:lang w:val="en-US"/>
        </w:rPr>
        <w:t>2</w:t>
      </w:r>
      <w:r>
        <w:t>0</w:t>
      </w:r>
      <w:r>
        <w:rPr>
          <w:rFonts w:hint="eastAsia"/>
        </w:rPr>
        <w:t xml:space="preserve"> </w:t>
      </w:r>
      <w:r>
        <w:t>°C至280</w:t>
      </w:r>
      <w:r>
        <w:rPr>
          <w:rFonts w:hint="eastAsia"/>
        </w:rPr>
        <w:t xml:space="preserve"> </w:t>
      </w:r>
      <w:r>
        <w:t>°C之间，得碳率逐渐下降。具体来说，在2</w:t>
      </w:r>
      <w:r>
        <w:rPr>
          <w:rFonts w:hint="eastAsia"/>
        </w:rPr>
        <w:t>4</w:t>
      </w:r>
      <w:r>
        <w:t>0</w:t>
      </w:r>
      <w:r>
        <w:rPr>
          <w:rFonts w:hint="eastAsia"/>
        </w:rPr>
        <w:t xml:space="preserve"> </w:t>
      </w:r>
      <w:r>
        <w:t>°C至260</w:t>
      </w:r>
      <w:r>
        <w:rPr>
          <w:rFonts w:hint="eastAsia"/>
        </w:rPr>
        <w:t xml:space="preserve"> </w:t>
      </w:r>
      <w:r>
        <w:t>°C之间，</w:t>
      </w:r>
      <w:r>
        <w:rPr>
          <w:rFonts w:hint="eastAsia"/>
        </w:rPr>
        <w:t>炭得率</w:t>
      </w:r>
      <w:r>
        <w:t>下降速度</w:t>
      </w:r>
      <w:r>
        <w:rPr>
          <w:rFonts w:hint="eastAsia"/>
        </w:rPr>
        <w:t>较为迅速；</w:t>
      </w:r>
      <w:r>
        <w:t>而在260</w:t>
      </w:r>
      <w:r>
        <w:rPr>
          <w:rFonts w:hint="eastAsia"/>
        </w:rPr>
        <w:t xml:space="preserve"> </w:t>
      </w:r>
      <w:r>
        <w:t>°C至280</w:t>
      </w:r>
      <w:r>
        <w:rPr>
          <w:rFonts w:hint="eastAsia"/>
        </w:rPr>
        <w:t xml:space="preserve"> </w:t>
      </w:r>
      <w:r>
        <w:t>°C之间，</w:t>
      </w:r>
      <w:r>
        <w:rPr>
          <w:rFonts w:hint="eastAsia"/>
        </w:rPr>
        <w:t>炭得率</w:t>
      </w:r>
      <w:r>
        <w:t>下降速度</w:t>
      </w:r>
      <w:r>
        <w:rPr>
          <w:rFonts w:hint="eastAsia"/>
        </w:rPr>
        <w:t>开始</w:t>
      </w:r>
      <w:r>
        <w:t>减缓。</w:t>
      </w:r>
    </w:p>
    <w:p>
      <w:pPr>
        <w:spacing w:line="440" w:lineRule="exact"/>
        <w:ind w:firstLine="480" w:firstLineChars="200"/>
        <w:jc w:val="both"/>
      </w:pPr>
      <w:r>
        <w:rPr>
          <w:rFonts w:hint="eastAsia"/>
        </w:rPr>
        <w:t>造成</w:t>
      </w:r>
      <w:r>
        <w:t>该现象的主要原因</w:t>
      </w:r>
      <w:r>
        <w:rPr>
          <w:rFonts w:hint="eastAsia"/>
        </w:rPr>
        <w:t>在</w:t>
      </w:r>
      <w:r>
        <w:t>于</w:t>
      </w:r>
      <w:r>
        <w:rPr>
          <w:rFonts w:hint="eastAsia"/>
        </w:rPr>
        <w:t>，</w:t>
      </w:r>
      <w:r>
        <w:t>半纤维素、纤维素和木质素</w:t>
      </w:r>
      <w:r>
        <w:rPr>
          <w:rFonts w:hint="eastAsia"/>
        </w:rPr>
        <w:t>在</w:t>
      </w:r>
      <w:r>
        <w:t>水热反应温度升高</w:t>
      </w:r>
      <w:r>
        <w:rPr>
          <w:rFonts w:hint="eastAsia"/>
        </w:rPr>
        <w:t>过程中的</w:t>
      </w:r>
      <w:r>
        <w:t>水解</w:t>
      </w:r>
      <w:r>
        <w:rPr>
          <w:rFonts w:hint="eastAsia"/>
        </w:rPr>
        <w:t>难易</w:t>
      </w:r>
      <w:r>
        <w:t>程度有所不同。在180</w:t>
      </w:r>
      <w:r>
        <w:rPr>
          <w:rFonts w:hint="eastAsia"/>
        </w:rPr>
        <w:t xml:space="preserve"> </w:t>
      </w:r>
      <w:r>
        <w:t>°C至2</w:t>
      </w:r>
      <w:r>
        <w:rPr>
          <w:rFonts w:hint="eastAsia"/>
        </w:rPr>
        <w:t>2</w:t>
      </w:r>
      <w:r>
        <w:t>0</w:t>
      </w:r>
      <w:r>
        <w:rPr>
          <w:rFonts w:hint="eastAsia"/>
        </w:rPr>
        <w:t xml:space="preserve"> </w:t>
      </w:r>
      <w:r>
        <w:t>°C之间，水热液中的纤维素和半纤维素</w:t>
      </w:r>
      <w:r>
        <w:rPr>
          <w:rFonts w:hint="eastAsia"/>
        </w:rPr>
        <w:t>在水热液中</w:t>
      </w:r>
      <w:r>
        <w:t>开始溶解并解聚成低聚物和单体，而木质素的解聚还</w:t>
      </w:r>
      <w:r>
        <w:rPr>
          <w:rFonts w:hint="eastAsia"/>
        </w:rPr>
        <w:t>并</w:t>
      </w:r>
      <w:r>
        <w:t>未</w:t>
      </w:r>
      <w:r>
        <w:rPr>
          <w:rFonts w:hint="eastAsia"/>
        </w:rPr>
        <w:t>大规模开始</w:t>
      </w:r>
      <w:r>
        <w:t>进行</w:t>
      </w:r>
      <w:r>
        <w:rPr>
          <w:vertAlign w:val="superscript"/>
        </w:rPr>
        <w:fldChar w:fldCharType="begin"/>
      </w:r>
      <w:r>
        <w:rPr>
          <w:vertAlign w:val="superscript"/>
        </w:rPr>
        <w:instrText xml:space="preserve"> REF _Ref2017668779 \r \h  \* MERGEFORMAT </w:instrText>
      </w:r>
      <w:r>
        <w:rPr>
          <w:vertAlign w:val="superscript"/>
        </w:rPr>
        <w:fldChar w:fldCharType="separate"/>
      </w:r>
      <w:r>
        <w:rPr>
          <w:vertAlign w:val="superscript"/>
        </w:rPr>
        <w:t>[35]</w:t>
      </w:r>
      <w:r>
        <w:rPr>
          <w:vertAlign w:val="superscript"/>
        </w:rPr>
        <w:fldChar w:fldCharType="end"/>
      </w:r>
      <w:r>
        <w:t>。</w:t>
      </w:r>
      <w:r>
        <w:rPr>
          <w:rFonts w:hint="eastAsia"/>
        </w:rPr>
        <w:t xml:space="preserve">首先在180 </w:t>
      </w:r>
      <w:r>
        <w:t>°C</w:t>
      </w:r>
      <w:r>
        <w:rPr>
          <w:rFonts w:hint="eastAsia"/>
        </w:rPr>
        <w:t xml:space="preserve">下，纤维板中的半纤维素就开始水解为五碳糖并溶解在液相中。在此之后，五碳烃化合物经历进一步的脱水反应，转化为糠醛。当糠醛在液相中的浓度达到一定水平时，它们会聚合成具有次级碳微球结构的物质，并沉积在木质纤维表面。随着反应温度的进一步升高，半纤维素继续水解并聚合为具有呋喃结构的次级炭化糠醛。当温度达到220 </w:t>
      </w:r>
      <w:r>
        <w:t>°C</w:t>
      </w:r>
      <w:r>
        <w:rPr>
          <w:rFonts w:hint="eastAsia"/>
        </w:rPr>
        <w:t>时，占草本植物最大比例的纤维素开始水解，生成葡萄糖，从而导致炭</w:t>
      </w:r>
      <w:r>
        <w:rPr>
          <w:rFonts w:hint="eastAsia"/>
          <w:lang w:eastAsia="zh-CN"/>
        </w:rPr>
        <w:t>得</w:t>
      </w:r>
      <w:r>
        <w:rPr>
          <w:rFonts w:hint="eastAsia"/>
        </w:rPr>
        <w:t>率降低。然后，这些葡萄糖经历脱水反应，形成5-羟甲基糠醛。当5-羟甲基糠醛的浓度达到一定水平时，它会与通过半纤维素水解生成的糠醛发生聚合反应。这个反应导致形成高芳香度的水热</w:t>
      </w:r>
      <w:r>
        <w:rPr>
          <w:rFonts w:hint="eastAsia"/>
          <w:lang w:eastAsia="zh-CN"/>
        </w:rPr>
        <w:t>炭</w:t>
      </w:r>
      <w:r>
        <w:rPr>
          <w:rFonts w:hint="eastAsia"/>
        </w:rPr>
        <w:t>。此外，少量的</w:t>
      </w:r>
      <w:r>
        <w:rPr>
          <w:rFonts w:hint="eastAsia"/>
          <w:lang w:eastAsia="zh-CN"/>
        </w:rPr>
        <w:t>木质素</w:t>
      </w:r>
      <w:r>
        <w:rPr>
          <w:rFonts w:hint="eastAsia"/>
        </w:rPr>
        <w:t>水解也为酚类化合物的形成做出贡献，这些化合物与糠醛和5-羟甲基糠醛一起聚合，形成更高程度的芳</w:t>
      </w:r>
      <w:r>
        <w:rPr>
          <w:rFonts w:hint="eastAsia"/>
          <w:lang w:eastAsia="zh-CN"/>
        </w:rPr>
        <w:t>构</w:t>
      </w:r>
      <w:r>
        <w:rPr>
          <w:rFonts w:hint="eastAsia"/>
        </w:rPr>
        <w:t>化</w:t>
      </w:r>
      <w:r>
        <w:rPr>
          <w:rFonts w:hint="eastAsia"/>
          <w:lang w:eastAsia="zh-CN"/>
        </w:rPr>
        <w:t>水热炭物质</w:t>
      </w:r>
      <w:r>
        <w:rPr>
          <w:rFonts w:hint="eastAsia"/>
          <w:vertAlign w:val="superscript"/>
        </w:rPr>
        <w:fldChar w:fldCharType="begin"/>
      </w:r>
      <w:r>
        <w:rPr>
          <w:rFonts w:hint="eastAsia"/>
          <w:vertAlign w:val="superscript"/>
        </w:rPr>
        <w:instrText xml:space="preserve"> REF _Ref66733532 \r \h </w:instrText>
      </w:r>
      <w:r>
        <w:rPr>
          <w:vertAlign w:val="superscript"/>
        </w:rPr>
        <w:instrText xml:space="preserve"> \* MERGEFORMAT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w:t>
      </w:r>
    </w:p>
    <w:p>
      <w:pPr>
        <w:spacing w:line="440" w:lineRule="exact"/>
        <w:ind w:firstLine="480" w:firstLineChars="200"/>
      </w:pPr>
    </w:p>
    <w:p>
      <w:pPr>
        <w:pStyle w:val="4"/>
      </w:pPr>
      <w:bookmarkStart w:id="32" w:name="_Toc166450080"/>
      <w:bookmarkStart w:id="33" w:name="_Toc166234357"/>
      <w:r>
        <w:rPr>
          <w:rFonts w:hint="eastAsia"/>
        </w:rPr>
        <w:t>2.3</w:t>
      </w:r>
      <w:r>
        <w:t xml:space="preserve">.2  </w:t>
      </w:r>
      <w:r>
        <w:rPr>
          <w:rFonts w:hint="eastAsia"/>
        </w:rPr>
        <w:t>木糖与水热液反应</w:t>
      </w:r>
      <w:r>
        <w:t>氮在固相产物中的固集特性</w:t>
      </w:r>
      <w:bookmarkEnd w:id="32"/>
      <w:bookmarkEnd w:id="33"/>
    </w:p>
    <w:p>
      <w:pPr>
        <w:spacing w:line="440" w:lineRule="exact"/>
        <w:ind w:firstLine="480" w:firstLineChars="200"/>
        <w:jc w:val="both"/>
      </w:pPr>
      <w:r>
        <w:rPr>
          <w:rFonts w:hint="eastAsia"/>
        </w:rPr>
        <w:t>根据一次实验中水热液原料中的总氮质量113.6</w:t>
      </w:r>
      <w:r>
        <w:t>0</w:t>
      </w:r>
      <w:r>
        <w:rPr>
          <w:rFonts w:hint="eastAsia"/>
        </w:rPr>
        <w:t xml:space="preserve"> mg及各温度条件下固相产物水热炭氮质量分数，可以通过（1）式计算得到每种温度条件下的固氮率，木糖与水热液反应固氮率分析见表</w:t>
      </w:r>
      <w:r>
        <w:rPr>
          <w:rFonts w:hint="eastAsia"/>
          <w:lang w:val="en-US" w:eastAsia="zh-CN"/>
        </w:rPr>
        <w:t>2-</w:t>
      </w:r>
      <w:r>
        <w:rPr>
          <w:rFonts w:hint="eastAsia"/>
        </w:rPr>
        <w:t>4。</w:t>
      </w:r>
    </w:p>
    <w:p>
      <w:pPr>
        <w:spacing w:before="120" w:beforeLines="50" w:after="120" w:afterLines="50" w:line="360" w:lineRule="auto"/>
        <w:rPr>
          <w:rFonts w:hint="eastAsia"/>
        </w:rPr>
      </w:pPr>
    </w:p>
    <w:p>
      <w:pPr>
        <w:jc w:val="center"/>
        <w:rPr>
          <w:sz w:val="21"/>
          <w:szCs w:val="21"/>
        </w:rPr>
      </w:pPr>
      <w:r>
        <w:rPr>
          <w:rFonts w:hint="eastAsia"/>
          <w:sz w:val="21"/>
          <w:szCs w:val="21"/>
        </w:rPr>
        <w:t>表</w:t>
      </w:r>
      <w:r>
        <w:rPr>
          <w:rFonts w:hint="eastAsia"/>
          <w:sz w:val="21"/>
          <w:szCs w:val="21"/>
          <w:lang w:val="en-US" w:eastAsia="zh-CN"/>
        </w:rPr>
        <w:t>2-</w:t>
      </w:r>
      <w:r>
        <w:rPr>
          <w:rFonts w:hint="eastAsia"/>
          <w:sz w:val="21"/>
          <w:szCs w:val="21"/>
        </w:rPr>
        <w:t>4  木糖与水热液反应固氮率分析</w:t>
      </w:r>
    </w:p>
    <w:p>
      <w:pPr>
        <w:jc w:val="center"/>
        <w:rPr>
          <w:sz w:val="21"/>
          <w:szCs w:val="21"/>
        </w:rPr>
      </w:pPr>
      <w:r>
        <w:rPr>
          <w:sz w:val="21"/>
          <w:szCs w:val="21"/>
        </w:rPr>
        <w:t>Tab.</w:t>
      </w:r>
      <w:r>
        <w:rPr>
          <w:rFonts w:hint="eastAsia"/>
          <w:sz w:val="21"/>
          <w:szCs w:val="21"/>
          <w:lang w:val="en-US" w:eastAsia="zh-CN"/>
        </w:rPr>
        <w:t>2-</w:t>
      </w:r>
      <w:r>
        <w:rPr>
          <w:rFonts w:hint="eastAsia"/>
          <w:sz w:val="21"/>
          <w:szCs w:val="21"/>
        </w:rPr>
        <w:t>4</w:t>
      </w:r>
      <w:r>
        <w:rPr>
          <w:sz w:val="21"/>
          <w:szCs w:val="21"/>
        </w:rPr>
        <w:t xml:space="preserve">  Analysis of nitrogen fixation rate in the reaction of xylose with hydrothermal solution</w:t>
      </w:r>
    </w:p>
    <w:p>
      <w:pPr>
        <w:spacing w:before="120" w:beforeLines="50" w:after="120" w:afterLines="50"/>
        <w:jc w:val="center"/>
      </w:pP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2"/>
        <w:gridCol w:w="1250"/>
        <w:gridCol w:w="1251"/>
        <w:gridCol w:w="1251"/>
        <w:gridCol w:w="1251"/>
        <w:gridCol w:w="1251"/>
        <w:gridCol w:w="1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pct"/>
            <w:tcBorders>
              <w:top w:val="single" w:color="auto" w:sz="12" w:space="0"/>
              <w:left w:val="nil"/>
              <w:bottom w:val="single" w:color="auto" w:sz="4" w:space="0"/>
              <w:right w:val="nil"/>
            </w:tcBorders>
            <w:vAlign w:val="center"/>
          </w:tcPr>
          <w:p>
            <w:pPr>
              <w:widowControl w:val="0"/>
              <w:jc w:val="center"/>
            </w:pPr>
            <w:r>
              <w:rPr>
                <w:rFonts w:hint="eastAsia"/>
              </w:rPr>
              <w:t>条件</w:t>
            </w:r>
          </w:p>
        </w:tc>
        <w:tc>
          <w:tcPr>
            <w:tcW w:w="661" w:type="pct"/>
            <w:tcBorders>
              <w:top w:val="single" w:color="auto" w:sz="12" w:space="0"/>
              <w:left w:val="nil"/>
              <w:bottom w:val="single" w:color="auto" w:sz="4" w:space="0"/>
              <w:right w:val="nil"/>
            </w:tcBorders>
            <w:vAlign w:val="center"/>
          </w:tcPr>
          <w:p>
            <w:pPr>
              <w:widowControl w:val="0"/>
              <w:jc w:val="center"/>
            </w:pPr>
            <w:r>
              <w:t>180°C</w:t>
            </w:r>
            <w:r>
              <w:rPr>
                <w:rFonts w:hint="eastAsia"/>
              </w:rPr>
              <w:t>-2h</w:t>
            </w:r>
          </w:p>
        </w:tc>
        <w:tc>
          <w:tcPr>
            <w:tcW w:w="661" w:type="pct"/>
            <w:tcBorders>
              <w:top w:val="single" w:color="auto" w:sz="12" w:space="0"/>
              <w:left w:val="nil"/>
              <w:bottom w:val="single" w:color="auto" w:sz="4" w:space="0"/>
              <w:right w:val="nil"/>
            </w:tcBorders>
            <w:vAlign w:val="center"/>
          </w:tcPr>
          <w:p>
            <w:pPr>
              <w:widowControl w:val="0"/>
              <w:jc w:val="center"/>
            </w:pPr>
            <w:r>
              <w:rPr>
                <w:rFonts w:hint="eastAsia"/>
              </w:rPr>
              <w:t>2</w:t>
            </w:r>
            <w:r>
              <w:t>0</w:t>
            </w:r>
            <w:r>
              <w:rPr>
                <w:rFonts w:hint="eastAsia"/>
              </w:rPr>
              <w:t>0</w:t>
            </w:r>
            <w:r>
              <w:t>°C</w:t>
            </w:r>
            <w:r>
              <w:rPr>
                <w:rFonts w:hint="eastAsia"/>
              </w:rPr>
              <w:t>-2h</w:t>
            </w:r>
          </w:p>
        </w:tc>
        <w:tc>
          <w:tcPr>
            <w:tcW w:w="661" w:type="pct"/>
            <w:tcBorders>
              <w:top w:val="single" w:color="auto" w:sz="12" w:space="0"/>
              <w:left w:val="nil"/>
              <w:bottom w:val="single" w:color="auto" w:sz="4" w:space="0"/>
              <w:right w:val="nil"/>
            </w:tcBorders>
            <w:vAlign w:val="center"/>
          </w:tcPr>
          <w:p>
            <w:pPr>
              <w:widowControl w:val="0"/>
              <w:jc w:val="center"/>
            </w:pPr>
            <w:r>
              <w:rPr>
                <w:rFonts w:hint="eastAsia"/>
              </w:rPr>
              <w:t>2</w:t>
            </w:r>
            <w:r>
              <w:t>2</w:t>
            </w:r>
            <w:r>
              <w:rPr>
                <w:rFonts w:hint="eastAsia"/>
              </w:rPr>
              <w:t>0</w:t>
            </w:r>
            <w:r>
              <w:t>°C</w:t>
            </w:r>
            <w:r>
              <w:rPr>
                <w:rFonts w:hint="eastAsia"/>
              </w:rPr>
              <w:t>-2h</w:t>
            </w:r>
          </w:p>
        </w:tc>
        <w:tc>
          <w:tcPr>
            <w:tcW w:w="661" w:type="pct"/>
            <w:tcBorders>
              <w:top w:val="single" w:color="auto" w:sz="12" w:space="0"/>
              <w:left w:val="nil"/>
              <w:bottom w:val="single" w:color="auto" w:sz="4" w:space="0"/>
              <w:right w:val="nil"/>
            </w:tcBorders>
            <w:vAlign w:val="center"/>
          </w:tcPr>
          <w:p>
            <w:pPr>
              <w:widowControl w:val="0"/>
              <w:jc w:val="center"/>
            </w:pPr>
            <w:r>
              <w:rPr>
                <w:rFonts w:hint="eastAsia"/>
              </w:rPr>
              <w:t>240</w:t>
            </w:r>
            <w:r>
              <w:t>°C</w:t>
            </w:r>
            <w:r>
              <w:rPr>
                <w:rFonts w:hint="eastAsia"/>
              </w:rPr>
              <w:t>-2h</w:t>
            </w:r>
          </w:p>
        </w:tc>
        <w:tc>
          <w:tcPr>
            <w:tcW w:w="661" w:type="pct"/>
            <w:tcBorders>
              <w:top w:val="single" w:color="auto" w:sz="12" w:space="0"/>
              <w:left w:val="nil"/>
              <w:bottom w:val="single" w:color="auto" w:sz="4" w:space="0"/>
              <w:right w:val="nil"/>
            </w:tcBorders>
            <w:vAlign w:val="center"/>
          </w:tcPr>
          <w:p>
            <w:pPr>
              <w:widowControl w:val="0"/>
              <w:jc w:val="center"/>
            </w:pPr>
            <w:r>
              <w:rPr>
                <w:rFonts w:hint="eastAsia"/>
              </w:rPr>
              <w:t>2</w:t>
            </w:r>
            <w:r>
              <w:t>6</w:t>
            </w:r>
            <w:r>
              <w:rPr>
                <w:rFonts w:hint="eastAsia"/>
              </w:rPr>
              <w:t>0</w:t>
            </w:r>
            <w:r>
              <w:t>°C</w:t>
            </w:r>
            <w:r>
              <w:rPr>
                <w:rFonts w:hint="eastAsia"/>
              </w:rPr>
              <w:t>-2h</w:t>
            </w:r>
          </w:p>
        </w:tc>
        <w:tc>
          <w:tcPr>
            <w:tcW w:w="661" w:type="pct"/>
            <w:tcBorders>
              <w:top w:val="single" w:color="auto" w:sz="12" w:space="0"/>
              <w:left w:val="nil"/>
              <w:bottom w:val="single" w:color="auto" w:sz="4" w:space="0"/>
              <w:right w:val="nil"/>
            </w:tcBorders>
            <w:vAlign w:val="center"/>
          </w:tcPr>
          <w:p>
            <w:pPr>
              <w:widowControl w:val="0"/>
              <w:jc w:val="center"/>
            </w:pPr>
            <w:r>
              <w:rPr>
                <w:rFonts w:hint="eastAsia"/>
              </w:rPr>
              <w:t>2</w:t>
            </w:r>
            <w:r>
              <w:t>8</w:t>
            </w:r>
            <w:r>
              <w:rPr>
                <w:rFonts w:hint="eastAsia"/>
              </w:rPr>
              <w:t>0</w:t>
            </w:r>
            <w:r>
              <w:t>°C</w:t>
            </w:r>
            <w:r>
              <w:rPr>
                <w:rFonts w:hint="eastAsia"/>
              </w:rPr>
              <w:t>-2h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pct"/>
            <w:tcBorders>
              <w:top w:val="nil"/>
              <w:left w:val="nil"/>
              <w:bottom w:val="nil"/>
              <w:right w:val="nil"/>
            </w:tcBorders>
            <w:vAlign w:val="center"/>
          </w:tcPr>
          <w:p>
            <w:pPr>
              <w:widowControl w:val="0"/>
              <w:jc w:val="center"/>
            </w:pPr>
            <w:r>
              <w:rPr>
                <w:rFonts w:hint="eastAsia"/>
              </w:rPr>
              <w:t>氮质量分数</w:t>
            </w:r>
            <w:r>
              <w:rPr>
                <w:rFonts w:hint="default"/>
                <w:lang w:val="en-US"/>
              </w:rPr>
              <w:t xml:space="preserve"> </w:t>
            </w:r>
            <w:r>
              <w:rPr>
                <w:rFonts w:hint="eastAsia"/>
              </w:rPr>
              <w:t>(%)</w:t>
            </w:r>
          </w:p>
        </w:tc>
        <w:tc>
          <w:tcPr>
            <w:tcW w:w="661" w:type="pct"/>
            <w:tcBorders>
              <w:top w:val="nil"/>
              <w:left w:val="nil"/>
              <w:bottom w:val="nil"/>
              <w:right w:val="nil"/>
            </w:tcBorders>
            <w:vAlign w:val="center"/>
          </w:tcPr>
          <w:p>
            <w:pPr>
              <w:widowControl w:val="0"/>
              <w:jc w:val="center"/>
            </w:pPr>
            <w:r>
              <w:t>5.89</w:t>
            </w:r>
          </w:p>
        </w:tc>
        <w:tc>
          <w:tcPr>
            <w:tcW w:w="661" w:type="pct"/>
            <w:tcBorders>
              <w:top w:val="nil"/>
              <w:left w:val="nil"/>
              <w:bottom w:val="nil"/>
              <w:right w:val="nil"/>
            </w:tcBorders>
            <w:vAlign w:val="center"/>
          </w:tcPr>
          <w:p>
            <w:pPr>
              <w:widowControl w:val="0"/>
              <w:jc w:val="center"/>
            </w:pPr>
            <w:r>
              <w:t>5.85</w:t>
            </w:r>
          </w:p>
        </w:tc>
        <w:tc>
          <w:tcPr>
            <w:tcW w:w="661" w:type="pct"/>
            <w:tcBorders>
              <w:top w:val="nil"/>
              <w:left w:val="nil"/>
              <w:bottom w:val="nil"/>
              <w:right w:val="nil"/>
            </w:tcBorders>
            <w:vAlign w:val="center"/>
          </w:tcPr>
          <w:p>
            <w:pPr>
              <w:widowControl w:val="0"/>
              <w:jc w:val="center"/>
            </w:pPr>
            <w:r>
              <w:t>6.05</w:t>
            </w:r>
          </w:p>
        </w:tc>
        <w:tc>
          <w:tcPr>
            <w:tcW w:w="661" w:type="pct"/>
            <w:tcBorders>
              <w:top w:val="nil"/>
              <w:left w:val="nil"/>
              <w:bottom w:val="nil"/>
              <w:right w:val="nil"/>
            </w:tcBorders>
            <w:vAlign w:val="center"/>
          </w:tcPr>
          <w:p>
            <w:pPr>
              <w:widowControl w:val="0"/>
              <w:jc w:val="center"/>
            </w:pPr>
            <w:r>
              <w:t>5.69</w:t>
            </w:r>
          </w:p>
        </w:tc>
        <w:tc>
          <w:tcPr>
            <w:tcW w:w="661" w:type="pct"/>
            <w:tcBorders>
              <w:top w:val="nil"/>
              <w:left w:val="nil"/>
              <w:bottom w:val="nil"/>
              <w:right w:val="nil"/>
            </w:tcBorders>
            <w:vAlign w:val="center"/>
          </w:tcPr>
          <w:p>
            <w:pPr>
              <w:widowControl w:val="0"/>
              <w:jc w:val="center"/>
            </w:pPr>
            <w:r>
              <w:t>6.39</w:t>
            </w:r>
          </w:p>
        </w:tc>
        <w:tc>
          <w:tcPr>
            <w:tcW w:w="661" w:type="pct"/>
            <w:tcBorders>
              <w:top w:val="nil"/>
              <w:left w:val="nil"/>
              <w:bottom w:val="nil"/>
              <w:right w:val="nil"/>
            </w:tcBorders>
            <w:vAlign w:val="center"/>
          </w:tcPr>
          <w:p>
            <w:pPr>
              <w:widowControl w:val="0"/>
              <w:jc w:val="center"/>
            </w:pPr>
            <w:r>
              <w:t>6.28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pct"/>
            <w:tcBorders>
              <w:top w:val="nil"/>
              <w:left w:val="nil"/>
              <w:bottom w:val="nil"/>
              <w:right w:val="nil"/>
            </w:tcBorders>
            <w:vAlign w:val="center"/>
          </w:tcPr>
          <w:p>
            <w:pPr>
              <w:widowControl w:val="0"/>
              <w:jc w:val="center"/>
            </w:pPr>
            <w:r>
              <w:rPr>
                <w:rFonts w:hint="eastAsia"/>
              </w:rPr>
              <w:t>氮质量</w:t>
            </w:r>
            <w:r>
              <w:rPr>
                <w:rFonts w:hint="default"/>
                <w:lang w:val="en-US"/>
              </w:rPr>
              <w:t xml:space="preserve"> </w:t>
            </w:r>
            <w:r>
              <w:t>(mg)</w:t>
            </w:r>
          </w:p>
        </w:tc>
        <w:tc>
          <w:tcPr>
            <w:tcW w:w="661" w:type="pct"/>
            <w:tcBorders>
              <w:top w:val="nil"/>
              <w:left w:val="nil"/>
              <w:bottom w:val="nil"/>
              <w:right w:val="nil"/>
            </w:tcBorders>
            <w:vAlign w:val="center"/>
          </w:tcPr>
          <w:p>
            <w:pPr>
              <w:widowControl w:val="0"/>
              <w:jc w:val="center"/>
            </w:pPr>
            <w:r>
              <w:t>46.08</w:t>
            </w:r>
          </w:p>
        </w:tc>
        <w:tc>
          <w:tcPr>
            <w:tcW w:w="661" w:type="pct"/>
            <w:tcBorders>
              <w:top w:val="nil"/>
              <w:left w:val="nil"/>
              <w:bottom w:val="nil"/>
              <w:right w:val="nil"/>
            </w:tcBorders>
            <w:vAlign w:val="center"/>
          </w:tcPr>
          <w:p>
            <w:pPr>
              <w:widowControl w:val="0"/>
              <w:jc w:val="center"/>
            </w:pPr>
            <w:r>
              <w:t>54.10</w:t>
            </w:r>
          </w:p>
        </w:tc>
        <w:tc>
          <w:tcPr>
            <w:tcW w:w="661" w:type="pct"/>
            <w:tcBorders>
              <w:top w:val="nil"/>
              <w:left w:val="nil"/>
              <w:bottom w:val="nil"/>
              <w:right w:val="nil"/>
            </w:tcBorders>
            <w:vAlign w:val="center"/>
          </w:tcPr>
          <w:p>
            <w:pPr>
              <w:widowControl w:val="0"/>
              <w:jc w:val="center"/>
            </w:pPr>
            <w:r>
              <w:t>59.82</w:t>
            </w:r>
          </w:p>
        </w:tc>
        <w:tc>
          <w:tcPr>
            <w:tcW w:w="661" w:type="pct"/>
            <w:tcBorders>
              <w:top w:val="nil"/>
              <w:left w:val="nil"/>
              <w:bottom w:val="nil"/>
              <w:right w:val="nil"/>
            </w:tcBorders>
            <w:vAlign w:val="center"/>
          </w:tcPr>
          <w:p>
            <w:pPr>
              <w:widowControl w:val="0"/>
              <w:jc w:val="center"/>
            </w:pPr>
            <w:r>
              <w:t>54.62</w:t>
            </w:r>
          </w:p>
        </w:tc>
        <w:tc>
          <w:tcPr>
            <w:tcW w:w="661" w:type="pct"/>
            <w:tcBorders>
              <w:top w:val="nil"/>
              <w:left w:val="nil"/>
              <w:bottom w:val="nil"/>
              <w:right w:val="nil"/>
            </w:tcBorders>
            <w:vAlign w:val="center"/>
          </w:tcPr>
          <w:p>
            <w:pPr>
              <w:widowControl w:val="0"/>
              <w:jc w:val="center"/>
            </w:pPr>
            <w:r>
              <w:t>55.47</w:t>
            </w:r>
          </w:p>
        </w:tc>
        <w:tc>
          <w:tcPr>
            <w:tcW w:w="661" w:type="pct"/>
            <w:tcBorders>
              <w:top w:val="nil"/>
              <w:left w:val="nil"/>
              <w:bottom w:val="nil"/>
              <w:right w:val="nil"/>
            </w:tcBorders>
            <w:vAlign w:val="center"/>
          </w:tcPr>
          <w:p>
            <w:pPr>
              <w:widowControl w:val="0"/>
              <w:jc w:val="center"/>
            </w:pPr>
            <w:r>
              <w:t>53.70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032" w:type="pct"/>
            <w:tcBorders>
              <w:top w:val="nil"/>
              <w:left w:val="nil"/>
              <w:bottom w:val="single" w:color="auto" w:sz="12" w:space="0"/>
              <w:right w:val="nil"/>
            </w:tcBorders>
            <w:vAlign w:val="center"/>
          </w:tcPr>
          <w:p>
            <w:pPr>
              <w:widowControl w:val="0"/>
              <w:jc w:val="center"/>
            </w:pPr>
            <w:r>
              <w:rPr>
                <w:rFonts w:hint="eastAsia"/>
              </w:rPr>
              <w:t>固氮率</w:t>
            </w:r>
            <w:r>
              <w:rPr>
                <w:rFonts w:hint="default"/>
                <w:lang w:val="en-US"/>
              </w:rPr>
              <w:t xml:space="preserve"> </w:t>
            </w:r>
            <w:r>
              <w:rPr>
                <w:rFonts w:hint="eastAsia"/>
              </w:rPr>
              <w:t>(%)</w:t>
            </w:r>
          </w:p>
        </w:tc>
        <w:tc>
          <w:tcPr>
            <w:tcW w:w="661" w:type="pct"/>
            <w:tcBorders>
              <w:top w:val="nil"/>
              <w:left w:val="nil"/>
              <w:bottom w:val="single" w:color="auto" w:sz="12" w:space="0"/>
              <w:right w:val="nil"/>
            </w:tcBorders>
            <w:vAlign w:val="center"/>
          </w:tcPr>
          <w:p>
            <w:pPr>
              <w:widowControl w:val="0"/>
              <w:jc w:val="center"/>
            </w:pPr>
            <w:r>
              <w:t>40.56</w:t>
            </w:r>
          </w:p>
        </w:tc>
        <w:tc>
          <w:tcPr>
            <w:tcW w:w="661" w:type="pct"/>
            <w:tcBorders>
              <w:top w:val="nil"/>
              <w:left w:val="nil"/>
              <w:bottom w:val="single" w:color="auto" w:sz="12" w:space="0"/>
              <w:right w:val="nil"/>
            </w:tcBorders>
            <w:vAlign w:val="center"/>
          </w:tcPr>
          <w:p>
            <w:pPr>
              <w:widowControl w:val="0"/>
              <w:jc w:val="center"/>
            </w:pPr>
            <w:r>
              <w:t>47.62</w:t>
            </w:r>
          </w:p>
        </w:tc>
        <w:tc>
          <w:tcPr>
            <w:tcW w:w="661" w:type="pct"/>
            <w:tcBorders>
              <w:top w:val="nil"/>
              <w:left w:val="nil"/>
              <w:bottom w:val="single" w:color="auto" w:sz="12" w:space="0"/>
              <w:right w:val="nil"/>
            </w:tcBorders>
            <w:vAlign w:val="center"/>
          </w:tcPr>
          <w:p>
            <w:pPr>
              <w:widowControl w:val="0"/>
              <w:jc w:val="center"/>
            </w:pPr>
            <w:r>
              <w:t>52.6</w:t>
            </w:r>
            <w:r>
              <w:rPr>
                <w:rFonts w:hint="eastAsia"/>
              </w:rPr>
              <w:t>6</w:t>
            </w:r>
          </w:p>
        </w:tc>
        <w:tc>
          <w:tcPr>
            <w:tcW w:w="661" w:type="pct"/>
            <w:tcBorders>
              <w:top w:val="nil"/>
              <w:left w:val="nil"/>
              <w:bottom w:val="single" w:color="auto" w:sz="12" w:space="0"/>
              <w:right w:val="nil"/>
            </w:tcBorders>
            <w:vAlign w:val="center"/>
          </w:tcPr>
          <w:p>
            <w:pPr>
              <w:widowControl w:val="0"/>
              <w:jc w:val="center"/>
            </w:pPr>
            <w:r>
              <w:rPr>
                <w:rFonts w:hint="eastAsia"/>
              </w:rPr>
              <w:t>48.08</w:t>
            </w:r>
          </w:p>
        </w:tc>
        <w:tc>
          <w:tcPr>
            <w:tcW w:w="661" w:type="pct"/>
            <w:tcBorders>
              <w:top w:val="nil"/>
              <w:left w:val="nil"/>
              <w:bottom w:val="single" w:color="auto" w:sz="12" w:space="0"/>
              <w:right w:val="nil"/>
            </w:tcBorders>
            <w:vAlign w:val="center"/>
          </w:tcPr>
          <w:p>
            <w:pPr>
              <w:widowControl w:val="0"/>
              <w:jc w:val="center"/>
            </w:pPr>
            <w:r>
              <w:rPr>
                <w:rFonts w:hint="eastAsia"/>
              </w:rPr>
              <w:t>48.83</w:t>
            </w:r>
          </w:p>
        </w:tc>
        <w:tc>
          <w:tcPr>
            <w:tcW w:w="661" w:type="pct"/>
            <w:tcBorders>
              <w:top w:val="nil"/>
              <w:left w:val="nil"/>
              <w:bottom w:val="single" w:color="auto" w:sz="12" w:space="0"/>
              <w:right w:val="nil"/>
            </w:tcBorders>
            <w:vAlign w:val="center"/>
          </w:tcPr>
          <w:p>
            <w:pPr>
              <w:widowControl w:val="0"/>
              <w:jc w:val="center"/>
            </w:pPr>
            <w:r>
              <w:rPr>
                <w:rFonts w:hint="eastAsia"/>
              </w:rPr>
              <w:t>47.27</w:t>
            </w:r>
          </w:p>
        </w:tc>
      </w:tr>
    </w:tbl>
    <w:p>
      <w:pPr>
        <w:spacing w:before="120" w:beforeLines="50" w:after="120" w:afterLines="50" w:line="360" w:lineRule="auto"/>
        <w:ind w:firstLine="480" w:firstLineChars="200"/>
      </w:pPr>
    </w:p>
    <w:p>
      <w:pPr>
        <w:spacing w:line="440" w:lineRule="exact"/>
        <w:ind w:firstLine="480" w:firstLineChars="200"/>
        <w:jc w:val="both"/>
      </w:pPr>
      <w:r>
        <w:rPr>
          <w:rFonts w:hint="eastAsia"/>
        </w:rPr>
        <w:t>根据表</w:t>
      </w:r>
      <w:r>
        <w:rPr>
          <w:rFonts w:hint="eastAsia"/>
          <w:lang w:val="en-US" w:eastAsia="zh-CN"/>
        </w:rPr>
        <w:t>2-</w:t>
      </w:r>
      <w:r>
        <w:rPr>
          <w:rFonts w:hint="eastAsia"/>
        </w:rPr>
        <w:t>4，可绘制出固相产物中氮的质量分数变化曲线，如图</w:t>
      </w:r>
      <w:r>
        <w:rPr>
          <w:rFonts w:hint="default"/>
          <w:lang w:val="en-US"/>
        </w:rPr>
        <w:t>2-3</w:t>
      </w:r>
      <w:r>
        <w:rPr>
          <w:rFonts w:hint="eastAsia"/>
        </w:rPr>
        <w:t>所示。进一步可绘制出木糖与水热液反应固氮率随着反应温度升高的走势曲线图，如图</w:t>
      </w:r>
      <w:r>
        <w:rPr>
          <w:rFonts w:hint="default"/>
          <w:lang w:val="en-US"/>
        </w:rPr>
        <w:t>2-4</w:t>
      </w:r>
      <w:r>
        <w:rPr>
          <w:rFonts w:hint="eastAsia"/>
        </w:rPr>
        <w:t>所示。</w:t>
      </w:r>
    </w:p>
    <w:p>
      <w:pPr>
        <w:spacing w:line="440" w:lineRule="exact"/>
        <w:ind w:firstLine="480" w:firstLineChars="200"/>
        <w:rPr>
          <w:rFonts w:hint="eastAsia"/>
        </w:rPr>
      </w:pPr>
    </w:p>
    <w:p>
      <w:pPr>
        <w:spacing w:before="120" w:beforeLines="50" w:after="120" w:afterLines="50" w:line="360" w:lineRule="auto"/>
        <w:jc w:val="center"/>
      </w:pPr>
      <w:r>
        <w:drawing>
          <wp:inline distT="0" distB="0" distL="114300" distR="114300">
            <wp:extent cx="3828415" cy="2713355"/>
            <wp:effectExtent l="0" t="0" r="13335" b="12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1"/>
                    <a:stretch>
                      <a:fillRect/>
                    </a:stretch>
                  </pic:blipFill>
                  <pic:spPr>
                    <a:xfrm>
                      <a:off x="0" y="0"/>
                      <a:ext cx="3828415" cy="2713355"/>
                    </a:xfrm>
                    <a:prstGeom prst="rect">
                      <a:avLst/>
                    </a:prstGeom>
                    <a:noFill/>
                    <a:ln>
                      <a:noFill/>
                    </a:ln>
                  </pic:spPr>
                </pic:pic>
              </a:graphicData>
            </a:graphic>
          </wp:inline>
        </w:drawing>
      </w:r>
    </w:p>
    <w:p>
      <w:pPr>
        <w:jc w:val="center"/>
        <w:rPr>
          <w:sz w:val="21"/>
          <w:szCs w:val="21"/>
        </w:rPr>
      </w:pPr>
      <w:r>
        <w:rPr>
          <w:rFonts w:hint="eastAsia"/>
          <w:sz w:val="21"/>
          <w:szCs w:val="21"/>
        </w:rPr>
        <w:t>图</w:t>
      </w:r>
      <w:r>
        <w:rPr>
          <w:rFonts w:hint="default"/>
          <w:sz w:val="21"/>
          <w:szCs w:val="21"/>
          <w:lang w:val="en-US"/>
        </w:rPr>
        <w:t>2-3</w:t>
      </w:r>
      <w:r>
        <w:rPr>
          <w:rFonts w:hint="eastAsia"/>
          <w:sz w:val="21"/>
          <w:szCs w:val="21"/>
        </w:rPr>
        <w:t xml:space="preserve">  木糖与水热液反应固相产物中氮的质量分数</w:t>
      </w:r>
    </w:p>
    <w:p>
      <w:pPr>
        <w:jc w:val="center"/>
        <w:rPr>
          <w:sz w:val="21"/>
          <w:szCs w:val="21"/>
        </w:rPr>
      </w:pPr>
      <w:r>
        <w:rPr>
          <w:sz w:val="21"/>
          <w:szCs w:val="21"/>
        </w:rPr>
        <w:t>Fig.</w:t>
      </w:r>
      <w:r>
        <w:rPr>
          <w:rFonts w:hint="default"/>
          <w:sz w:val="21"/>
          <w:szCs w:val="21"/>
          <w:lang w:val="en-US"/>
        </w:rPr>
        <w:t>2-3</w:t>
      </w:r>
      <w:r>
        <w:rPr>
          <w:sz w:val="21"/>
          <w:szCs w:val="21"/>
        </w:rPr>
        <w:t xml:space="preserve">  Mass fraction of nitrogen in solid phase products of xylose and hydrothermal solution reaction</w:t>
      </w:r>
    </w:p>
    <w:p>
      <w:pPr>
        <w:spacing w:line="360" w:lineRule="auto"/>
      </w:pPr>
    </w:p>
    <w:p>
      <w:pPr>
        <w:jc w:val="center"/>
      </w:pPr>
      <w:r>
        <w:drawing>
          <wp:inline distT="0" distB="0" distL="114300" distR="114300">
            <wp:extent cx="4033520" cy="2717800"/>
            <wp:effectExtent l="0" t="0" r="14605" b="1270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2"/>
                    <a:stretch>
                      <a:fillRect/>
                    </a:stretch>
                  </pic:blipFill>
                  <pic:spPr>
                    <a:xfrm>
                      <a:off x="0" y="0"/>
                      <a:ext cx="4033520" cy="2717800"/>
                    </a:xfrm>
                    <a:prstGeom prst="rect">
                      <a:avLst/>
                    </a:prstGeom>
                    <a:noFill/>
                    <a:ln>
                      <a:noFill/>
                    </a:ln>
                  </pic:spPr>
                </pic:pic>
              </a:graphicData>
            </a:graphic>
          </wp:inline>
        </w:drawing>
      </w:r>
    </w:p>
    <w:p>
      <w:pPr>
        <w:jc w:val="center"/>
        <w:rPr>
          <w:sz w:val="21"/>
          <w:szCs w:val="21"/>
        </w:rPr>
      </w:pPr>
      <w:r>
        <w:rPr>
          <w:rFonts w:hint="eastAsia"/>
          <w:sz w:val="21"/>
          <w:szCs w:val="21"/>
        </w:rPr>
        <w:t>图</w:t>
      </w:r>
      <w:r>
        <w:rPr>
          <w:rFonts w:hint="default"/>
          <w:sz w:val="21"/>
          <w:szCs w:val="21"/>
          <w:lang w:val="en-US"/>
        </w:rPr>
        <w:t>2-4</w:t>
      </w:r>
      <w:r>
        <w:rPr>
          <w:rFonts w:hint="eastAsia"/>
          <w:sz w:val="21"/>
          <w:szCs w:val="21"/>
        </w:rPr>
        <w:t xml:space="preserve">  木糖与水热液反应固氮率</w:t>
      </w:r>
    </w:p>
    <w:p>
      <w:pPr>
        <w:jc w:val="center"/>
        <w:rPr>
          <w:sz w:val="21"/>
          <w:szCs w:val="21"/>
        </w:rPr>
      </w:pPr>
      <w:r>
        <w:rPr>
          <w:sz w:val="21"/>
          <w:szCs w:val="21"/>
        </w:rPr>
        <w:t>Fig.</w:t>
      </w:r>
      <w:r>
        <w:rPr>
          <w:rFonts w:hint="default"/>
          <w:sz w:val="21"/>
          <w:szCs w:val="21"/>
          <w:lang w:val="en-US"/>
        </w:rPr>
        <w:t>2-4</w:t>
      </w:r>
      <w:r>
        <w:rPr>
          <w:sz w:val="21"/>
          <w:szCs w:val="21"/>
        </w:rPr>
        <w:t xml:space="preserve">  Nitrogen fixation rate of xylose with hydrothermal solution</w:t>
      </w:r>
    </w:p>
    <w:p>
      <w:pPr>
        <w:spacing w:before="120" w:beforeLines="50" w:after="120" w:afterLines="50" w:line="360" w:lineRule="auto"/>
        <w:ind w:firstLine="480" w:firstLineChars="200"/>
        <w:jc w:val="center"/>
      </w:pPr>
    </w:p>
    <w:p>
      <w:pPr>
        <w:spacing w:before="120" w:beforeLines="50" w:after="120" w:afterLines="50" w:line="440" w:lineRule="exact"/>
        <w:ind w:firstLine="480" w:firstLineChars="200"/>
        <w:jc w:val="both"/>
      </w:pPr>
      <w:r>
        <w:rPr>
          <w:rFonts w:hint="eastAsia"/>
        </w:rPr>
        <w:t>根据</w:t>
      </w:r>
      <w:r>
        <w:rPr>
          <w:rFonts w:hint="eastAsia"/>
          <w:lang w:eastAsia="zh-CN"/>
        </w:rPr>
        <w:t>图</w:t>
      </w:r>
      <w:r>
        <w:rPr>
          <w:rFonts w:hint="eastAsia"/>
          <w:lang w:val="en-US" w:eastAsia="zh-CN"/>
        </w:rPr>
        <w:t>2-4</w:t>
      </w:r>
      <w:r>
        <w:rPr>
          <w:rFonts w:hint="eastAsia"/>
        </w:rPr>
        <w:t>所示数据，观察到木糖与水热液反应的固氮率曲线和得炭率曲线走势大致相似，两者均在温度达到220</w:t>
      </w:r>
      <w:r>
        <w:t>°C</w:t>
      </w:r>
      <w:r>
        <w:rPr>
          <w:rFonts w:hint="eastAsia"/>
        </w:rPr>
        <w:t>时达到峰值。</w:t>
      </w:r>
      <w:r>
        <w:rPr>
          <w:rFonts w:hint="eastAsia"/>
          <w:lang w:eastAsia="zh-CN"/>
        </w:rPr>
        <w:t>在</w:t>
      </w:r>
      <w:r>
        <w:rPr>
          <w:rFonts w:hint="eastAsia"/>
        </w:rPr>
        <w:t>水热温度由</w:t>
      </w:r>
      <w:r>
        <w:rPr>
          <w:rFonts w:hint="default"/>
          <w:lang w:val="en-US"/>
        </w:rPr>
        <w:t>24</w:t>
      </w:r>
      <w:r>
        <w:rPr>
          <w:rFonts w:hint="eastAsia"/>
        </w:rPr>
        <w:t>0</w:t>
      </w:r>
      <w:r>
        <w:rPr>
          <w:rFonts w:hint="eastAsia"/>
          <w:lang w:val="en-US" w:eastAsia="zh-CN"/>
        </w:rPr>
        <w:t xml:space="preserve"> </w:t>
      </w:r>
      <w:r>
        <w:t>°C</w:t>
      </w:r>
      <w:r>
        <w:rPr>
          <w:rFonts w:hint="eastAsia"/>
        </w:rPr>
        <w:t>升至2</w:t>
      </w:r>
      <w:r>
        <w:rPr>
          <w:rFonts w:hint="default"/>
          <w:lang w:val="en-US"/>
        </w:rPr>
        <w:t>6</w:t>
      </w:r>
      <w:r>
        <w:rPr>
          <w:rFonts w:hint="eastAsia"/>
        </w:rPr>
        <w:t>0</w:t>
      </w:r>
      <w:r>
        <w:rPr>
          <w:rFonts w:hint="eastAsia"/>
          <w:lang w:val="en-US" w:eastAsia="zh-CN"/>
        </w:rPr>
        <w:t xml:space="preserve"> </w:t>
      </w:r>
      <w:r>
        <w:t>°C</w:t>
      </w:r>
      <w:r>
        <w:rPr>
          <w:rFonts w:hint="eastAsia"/>
        </w:rPr>
        <w:t>的过程中，水热反应固相产物炭中的氮质量分数</w:t>
      </w:r>
      <w:r>
        <w:rPr>
          <w:rFonts w:hint="eastAsia"/>
          <w:lang w:eastAsia="zh-CN"/>
        </w:rPr>
        <w:t>陡然</w:t>
      </w:r>
      <w:r>
        <w:rPr>
          <w:rFonts w:hint="eastAsia"/>
        </w:rPr>
        <w:t>增加</w:t>
      </w:r>
      <w:r>
        <w:rPr>
          <w:rFonts w:hint="eastAsia"/>
          <w:lang w:eastAsia="zh-CN"/>
        </w:rPr>
        <w:t>，导致</w:t>
      </w:r>
      <w:r>
        <w:rPr>
          <w:rFonts w:hint="eastAsia"/>
          <w:lang w:val="en-US" w:eastAsia="zh-CN"/>
        </w:rPr>
        <w:t xml:space="preserve">260 </w:t>
      </w:r>
      <w:r>
        <w:t>°C</w:t>
      </w:r>
      <w:r>
        <w:rPr>
          <w:rFonts w:hint="eastAsia"/>
          <w:lang w:eastAsia="zh-CN"/>
        </w:rPr>
        <w:t>时的固氮率有所回升</w:t>
      </w:r>
      <w:r>
        <w:rPr>
          <w:rFonts w:hint="eastAsia"/>
        </w:rPr>
        <w:t>。在220</w:t>
      </w:r>
      <w:r>
        <w:rPr>
          <w:rFonts w:hint="eastAsia"/>
          <w:lang w:val="en-US" w:eastAsia="zh-CN"/>
        </w:rPr>
        <w:t xml:space="preserve"> </w:t>
      </w:r>
      <w:r>
        <w:t>°C</w:t>
      </w:r>
      <w:r>
        <w:rPr>
          <w:rFonts w:hint="eastAsia"/>
        </w:rPr>
        <w:t>时，氮的保留水平显著增加并达到最高点，然后开始下降。研究结果表明，</w:t>
      </w:r>
      <w:r>
        <w:rPr>
          <w:rFonts w:hint="eastAsia"/>
          <w:lang w:eastAsia="zh-CN"/>
        </w:rPr>
        <w:t>木质</w:t>
      </w:r>
      <w:r>
        <w:rPr>
          <w:rFonts w:hint="eastAsia"/>
        </w:rPr>
        <w:t>纤维素水解是增加氮保留的主要原因，该过程始于水温升高。在180</w:t>
      </w:r>
      <w:r>
        <w:rPr>
          <w:rFonts w:hint="eastAsia"/>
          <w:lang w:val="en-US" w:eastAsia="zh-CN"/>
        </w:rPr>
        <w:t xml:space="preserve"> </w:t>
      </w:r>
      <w:r>
        <w:t>°C</w:t>
      </w:r>
      <w:r>
        <w:rPr>
          <w:rFonts w:hint="eastAsia"/>
        </w:rPr>
        <w:t>时，部分纤维素成分开始水解，而在220</w:t>
      </w:r>
      <w:r>
        <w:rPr>
          <w:rFonts w:hint="eastAsia"/>
          <w:lang w:val="en-US" w:eastAsia="zh-CN"/>
        </w:rPr>
        <w:t xml:space="preserve"> </w:t>
      </w:r>
      <w:r>
        <w:t>°C</w:t>
      </w:r>
      <w:r>
        <w:rPr>
          <w:rFonts w:hint="eastAsia"/>
        </w:rPr>
        <w:t>时，水解反应更加剧烈。在两相介质中，木质纤维素的水解过程导致大量活性氧基团的形成，这些基团加强了Maillard反应（羰氨反应）作用</w:t>
      </w:r>
      <w:r>
        <w:rPr>
          <w:rFonts w:hint="eastAsia"/>
          <w:vertAlign w:val="superscript"/>
        </w:rPr>
        <w:fldChar w:fldCharType="begin"/>
      </w:r>
      <w:r>
        <w:rPr>
          <w:rFonts w:hint="eastAsia"/>
          <w:vertAlign w:val="superscript"/>
        </w:rPr>
        <w:instrText xml:space="preserve"> REF _Ref975248460 \r \h </w:instrText>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rPr>
        <w:t>。</w:t>
      </w:r>
    </w:p>
    <w:p>
      <w:pPr>
        <w:spacing w:before="120" w:beforeLines="50" w:after="120" w:afterLines="50" w:line="440" w:lineRule="exact"/>
        <w:ind w:firstLine="480" w:firstLineChars="200"/>
        <w:jc w:val="both"/>
      </w:pPr>
      <w:r>
        <w:rPr>
          <w:rFonts w:hint="eastAsia"/>
        </w:rPr>
        <w:t>从共水热固相产物炭的氮含量分析，随着温度的升高，水热炭中的固氮率相比于炭得率趋势大致相同，根据不同的反应温度条件，可以推断氮的结构在水热炭中发生了转变。然而在260</w:t>
      </w:r>
      <w:r>
        <w:t>°C</w:t>
      </w:r>
      <w:r>
        <w:rPr>
          <w:rFonts w:hint="eastAsia"/>
        </w:rPr>
        <w:t>时固氮率出现了回升的现象，这是由于固相产物炭中氮的质量分数陡增造成的，其增幅甚至已经抵消了炭得率的减少现象。对于此现象，汪等人在对水热转化停留时间的研究中发现</w:t>
      </w:r>
      <w:r>
        <w:rPr>
          <w:rFonts w:hint="eastAsia"/>
          <w:vertAlign w:val="superscript"/>
        </w:rPr>
        <w:fldChar w:fldCharType="begin"/>
      </w:r>
      <w:r>
        <w:rPr>
          <w:rFonts w:hint="eastAsia"/>
          <w:vertAlign w:val="superscript"/>
        </w:rPr>
        <w:instrText xml:space="preserve"> REF _Ref1858149727 \r \h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 xml:space="preserve">，在260 </w:t>
      </w:r>
      <w:r>
        <w:t>°C</w:t>
      </w:r>
      <w:r>
        <w:rPr>
          <w:rFonts w:hint="eastAsia"/>
        </w:rPr>
        <w:t>下</w:t>
      </w:r>
      <w:r>
        <w:rPr>
          <w:rFonts w:hint="eastAsia"/>
          <w:lang w:eastAsia="zh-CN"/>
        </w:rPr>
        <w:t>，</w:t>
      </w:r>
      <w:r>
        <w:rPr>
          <w:rFonts w:hint="eastAsia"/>
        </w:rPr>
        <w:t>长时间停留会导致氮含量和保留系数显著增加。根据分析，尽管在这种条件下木材发生水解，导致固相产率降低，但纤维素水解的液相产物，如</w:t>
      </w:r>
      <w:r>
        <w:rPr>
          <w:rFonts w:hint="eastAsia"/>
          <w:lang w:eastAsia="zh-CN"/>
        </w:rPr>
        <w:t>糠</w:t>
      </w:r>
      <w:r>
        <w:rPr>
          <w:rFonts w:hint="eastAsia"/>
        </w:rPr>
        <w:t>醛，通过聚合、缩聚和芳香反应得到增强</w:t>
      </w:r>
      <w:r>
        <w:rPr>
          <w:rFonts w:hint="eastAsia"/>
          <w:vertAlign w:val="superscript"/>
        </w:rPr>
        <w:fldChar w:fldCharType="begin"/>
      </w:r>
      <w:r>
        <w:rPr>
          <w:rFonts w:hint="eastAsia"/>
          <w:vertAlign w:val="superscript"/>
        </w:rPr>
        <w:instrText xml:space="preserve"> REF _Ref344554991 \r \h </w:instrText>
      </w:r>
      <w:r>
        <w:rPr>
          <w:rFonts w:hint="eastAsia"/>
          <w:vertAlign w:val="superscript"/>
        </w:rPr>
        <w:fldChar w:fldCharType="separate"/>
      </w:r>
      <w:r>
        <w:rPr>
          <w:rFonts w:hint="eastAsia"/>
          <w:vertAlign w:val="superscript"/>
        </w:rPr>
        <w:t>[39]</w:t>
      </w:r>
      <w:r>
        <w:rPr>
          <w:rFonts w:hint="eastAsia"/>
          <w:vertAlign w:val="superscript"/>
        </w:rPr>
        <w:fldChar w:fldCharType="end"/>
      </w:r>
      <w:r>
        <w:rPr>
          <w:vertAlign w:val="superscript"/>
        </w:rPr>
        <w:t>,</w:t>
      </w:r>
      <w:r>
        <w:rPr>
          <w:rFonts w:hint="eastAsia"/>
          <w:vertAlign w:val="superscript"/>
        </w:rPr>
        <w:fldChar w:fldCharType="begin"/>
      </w:r>
      <w:r>
        <w:rPr>
          <w:rFonts w:hint="eastAsia"/>
          <w:vertAlign w:val="superscript"/>
        </w:rPr>
        <w:instrText xml:space="preserve"> REF _Ref1996914718 \r \h </w:instrText>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rPr>
        <w:t xml:space="preserve">，从而部分将水解产物重新返回固相。仅在100 </w:t>
      </w:r>
      <w:r>
        <w:t>°C</w:t>
      </w:r>
      <w:r>
        <w:rPr>
          <w:rFonts w:hint="eastAsia"/>
        </w:rPr>
        <w:t>下，停留时间也对固相中的氮保留</w:t>
      </w:r>
      <w:r>
        <w:rPr>
          <w:rFonts w:hint="eastAsia"/>
          <w:lang w:eastAsia="zh-CN"/>
        </w:rPr>
        <w:t>率</w:t>
      </w:r>
      <w:r>
        <w:rPr>
          <w:rFonts w:hint="eastAsia"/>
        </w:rPr>
        <w:t xml:space="preserve">产生显著影响，而在140 </w:t>
      </w:r>
      <w:r>
        <w:t>°C</w:t>
      </w:r>
      <w:r>
        <w:rPr>
          <w:rFonts w:hint="eastAsia"/>
        </w:rPr>
        <w:t>时，温度起主导作用。根据分析，相对较低的温度条件下，水分与</w:t>
      </w:r>
      <w:r>
        <w:rPr>
          <w:rFonts w:hint="eastAsia"/>
          <w:lang w:eastAsia="zh-CN"/>
        </w:rPr>
        <w:t>脲醛</w:t>
      </w:r>
      <w:r>
        <w:rPr>
          <w:rFonts w:hint="eastAsia"/>
        </w:rPr>
        <w:t>树脂分子中的羟基团结合，导致亚甲基和氨基键的断裂，从而促进氮离子释放到液相中。在这个过程中，温度的升高使得水分子更容易与树脂分子结合，引发了更多的化学键的断裂和氮的释放。特别是在高温下，温度对于促进这一反应起到了至关重要的作用，加速了水合作用和分子间的相互作用</w:t>
      </w:r>
      <w:r>
        <w:rPr>
          <w:rFonts w:hint="eastAsia"/>
          <w:vertAlign w:val="superscript"/>
        </w:rPr>
        <w:fldChar w:fldCharType="begin"/>
      </w:r>
      <w:r>
        <w:rPr>
          <w:rFonts w:hint="eastAsia"/>
          <w:vertAlign w:val="superscript"/>
        </w:rPr>
        <w:instrText xml:space="preserve"> REF _Ref1079532396 \r \h </w:instrText>
      </w:r>
      <w:r>
        <w:rPr>
          <w:rFonts w:hint="eastAsia"/>
          <w:vertAlign w:val="superscript"/>
        </w:rPr>
        <w:fldChar w:fldCharType="separate"/>
      </w:r>
      <w:r>
        <w:rPr>
          <w:rFonts w:hint="eastAsia"/>
          <w:vertAlign w:val="superscript"/>
        </w:rPr>
        <w:t>[41]</w:t>
      </w:r>
      <w:r>
        <w:rPr>
          <w:rFonts w:hint="eastAsia"/>
          <w:vertAlign w:val="superscript"/>
        </w:rPr>
        <w:fldChar w:fldCharType="end"/>
      </w:r>
      <w:r>
        <w:rPr>
          <w:vertAlign w:val="superscript"/>
        </w:rPr>
        <w:t>,</w:t>
      </w:r>
      <w:r>
        <w:rPr>
          <w:rFonts w:hint="eastAsia"/>
          <w:vertAlign w:val="superscript"/>
        </w:rPr>
        <w:fldChar w:fldCharType="begin"/>
      </w:r>
      <w:r>
        <w:rPr>
          <w:rFonts w:hint="eastAsia"/>
          <w:vertAlign w:val="superscript"/>
        </w:rPr>
        <w:instrText xml:space="preserve"> REF _Ref170529289 \r \h </w:instrText>
      </w:r>
      <w:r>
        <w:rPr>
          <w:rFonts w:hint="eastAsia"/>
          <w:vertAlign w:val="superscript"/>
        </w:rPr>
        <w:fldChar w:fldCharType="separate"/>
      </w:r>
      <w:r>
        <w:rPr>
          <w:rFonts w:hint="eastAsia"/>
          <w:vertAlign w:val="superscript"/>
        </w:rPr>
        <w:t>[42]</w:t>
      </w:r>
      <w:r>
        <w:rPr>
          <w:rFonts w:hint="eastAsia"/>
          <w:vertAlign w:val="superscript"/>
        </w:rPr>
        <w:fldChar w:fldCharType="end"/>
      </w:r>
      <w:r>
        <w:rPr>
          <w:rFonts w:hint="eastAsia"/>
        </w:rPr>
        <w:t>，如此即可表明低温水热水热转化可有效去除纤维板中的绝大部分氮。</w:t>
      </w:r>
      <w:bookmarkStart w:id="34" w:name="_Toc166234358"/>
    </w:p>
    <w:p>
      <w:pPr>
        <w:rPr>
          <w:rFonts w:eastAsia="黑体" w:cs="宋体"/>
          <w:b/>
          <w:bCs/>
          <w:kern w:val="44"/>
          <w:sz w:val="32"/>
          <w:szCs w:val="48"/>
        </w:rPr>
      </w:pPr>
      <w:r>
        <w:br w:type="page"/>
      </w:r>
    </w:p>
    <w:p>
      <w:pPr>
        <w:pStyle w:val="2"/>
      </w:pPr>
      <w:bookmarkStart w:id="35" w:name="_Toc166450081"/>
      <w:r>
        <w:rPr>
          <w:rFonts w:hint="eastAsia"/>
        </w:rPr>
        <w:t>第三章</w:t>
      </w:r>
      <w:r>
        <w:t xml:space="preserve">  </w:t>
      </w:r>
      <w:r>
        <w:rPr>
          <w:rFonts w:hint="eastAsia"/>
        </w:rPr>
        <w:t>水热炭中</w:t>
      </w:r>
      <w:r>
        <w:t>氮的</w:t>
      </w:r>
      <w:r>
        <w:rPr>
          <w:rFonts w:hint="eastAsia"/>
        </w:rPr>
        <w:t>官能团</w:t>
      </w:r>
      <w:r>
        <w:t>转化特性研究</w:t>
      </w:r>
      <w:bookmarkEnd w:id="34"/>
      <w:bookmarkEnd w:id="35"/>
    </w:p>
    <w:p>
      <w:pPr>
        <w:pStyle w:val="3"/>
      </w:pPr>
      <w:bookmarkStart w:id="36" w:name="_Toc166234359"/>
      <w:bookmarkStart w:id="37" w:name="_Toc166450082"/>
      <w:r>
        <w:rPr>
          <w:rFonts w:hint="eastAsia"/>
        </w:rPr>
        <w:t>3.1</w:t>
      </w:r>
      <w:r>
        <w:t xml:space="preserve">  </w:t>
      </w:r>
      <w:bookmarkEnd w:id="36"/>
      <w:r>
        <w:rPr>
          <w:rFonts w:hint="eastAsia"/>
        </w:rPr>
        <w:t>测试设备与方法</w:t>
      </w:r>
      <w:bookmarkEnd w:id="37"/>
    </w:p>
    <w:p>
      <w:pPr>
        <w:pStyle w:val="4"/>
        <w:rPr>
          <w:rFonts w:hint="eastAsia"/>
        </w:rPr>
      </w:pPr>
      <w:bookmarkStart w:id="38" w:name="_Toc166450083"/>
      <w:r>
        <w:rPr>
          <w:rFonts w:hint="eastAsia"/>
        </w:rPr>
        <w:t>3.1.1  测试设备</w:t>
      </w:r>
      <w:bookmarkEnd w:id="38"/>
    </w:p>
    <w:p>
      <w:pPr>
        <w:spacing w:line="440" w:lineRule="exact"/>
        <w:ind w:firstLine="480" w:firstLineChars="200"/>
        <w:jc w:val="both"/>
        <w:rPr>
          <w:szCs w:val="24"/>
          <w:lang w:bidi="ar"/>
        </w:rPr>
      </w:pPr>
      <w:r>
        <w:rPr>
          <w:rFonts w:hint="eastAsia"/>
          <w:szCs w:val="24"/>
          <w:lang w:bidi="ar"/>
        </w:rPr>
        <w:t>选用美国Thermo Scientific K-Alpha公司的X射线光电子能谱仪（XPS）研究固相产物的表面氮官能团的结构和组成。通过使用 X 射线单色器，可以在范围从 50 µm 到 400 µm 的分析区域内，以 5 µm 的步长进行精确选择，以实现最大化所需信号的目的。首先X射线被用于照射样品表面，从而激发表面原子的内层电子至更高能级。这些内层电子因光电效应被释放，形成光电子。通过测量这些光电子的能量与数量，我们可以获得样品表面的元素信息。最终通过分析光电子的能级信息，可以确定表面元素的化学状态、组成及电子结构等详细信息</w:t>
      </w:r>
      <w:r>
        <w:rPr>
          <w:szCs w:val="24"/>
          <w:vertAlign w:val="superscript"/>
          <w:lang w:bidi="ar"/>
        </w:rPr>
        <w:fldChar w:fldCharType="begin"/>
      </w:r>
      <w:r>
        <w:rPr>
          <w:szCs w:val="24"/>
          <w:vertAlign w:val="superscript"/>
          <w:lang w:bidi="ar"/>
        </w:rPr>
        <w:instrText xml:space="preserve"> </w:instrText>
      </w:r>
      <w:r>
        <w:rPr>
          <w:rFonts w:hint="eastAsia"/>
          <w:szCs w:val="24"/>
          <w:vertAlign w:val="superscript"/>
          <w:lang w:bidi="ar"/>
        </w:rPr>
        <w:instrText xml:space="preserve">REF _Ref166436418 \r \h</w:instrText>
      </w:r>
      <w:r>
        <w:rPr>
          <w:szCs w:val="24"/>
          <w:vertAlign w:val="superscript"/>
          <w:lang w:bidi="ar"/>
        </w:rPr>
        <w:instrText xml:space="preserve">  \* MERGEFORMAT </w:instrText>
      </w:r>
      <w:r>
        <w:rPr>
          <w:szCs w:val="24"/>
          <w:vertAlign w:val="superscript"/>
          <w:lang w:bidi="ar"/>
        </w:rPr>
        <w:fldChar w:fldCharType="separate"/>
      </w:r>
      <w:r>
        <w:rPr>
          <w:szCs w:val="24"/>
          <w:vertAlign w:val="superscript"/>
          <w:lang w:bidi="ar"/>
        </w:rPr>
        <w:t>[43]</w:t>
      </w:r>
      <w:r>
        <w:rPr>
          <w:szCs w:val="24"/>
          <w:vertAlign w:val="superscript"/>
          <w:lang w:bidi="ar"/>
        </w:rPr>
        <w:fldChar w:fldCharType="end"/>
      </w:r>
      <w:r>
        <w:rPr>
          <w:rFonts w:hint="eastAsia"/>
          <w:szCs w:val="24"/>
          <w:lang w:bidi="ar"/>
        </w:rPr>
        <w:t>。</w:t>
      </w:r>
    </w:p>
    <w:p>
      <w:pPr>
        <w:spacing w:line="440" w:lineRule="exact"/>
        <w:ind w:firstLine="480" w:firstLineChars="200"/>
        <w:jc w:val="both"/>
        <w:rPr>
          <w:rFonts w:hint="eastAsia"/>
          <w:szCs w:val="24"/>
          <w:lang w:bidi="ar"/>
        </w:rPr>
      </w:pPr>
      <w:r>
        <w:rPr>
          <w:rFonts w:hint="eastAsia"/>
          <w:szCs w:val="24"/>
          <w:lang w:bidi="ar"/>
        </w:rPr>
        <w:t>在操作X射线光电子能谱仪的过程中，应确保样品表面平整且清洁，需要通过真空处理除去表面的氧化物等杂质。设置激发源后，X射线照射样品以激发内层电子。接着，测量并记录光电子的能谱，包括能量和强度的分布。通过分析这些光电子能谱，可以鉴定样品表面的元素类型、化学状态及其含量。XPS谱图通过测量1-10 nm厚度范围内从固体表面发射的电子的动能而获得，通过计数特定动能范围内的电子来记录光电子谱图，从而对样品表面的元素（氢除外）进行鉴定和相对定量。</w:t>
      </w:r>
    </w:p>
    <w:p>
      <w:pPr>
        <w:spacing w:line="440" w:lineRule="exact"/>
        <w:ind w:firstLine="480" w:firstLineChars="200"/>
        <w:rPr>
          <w:rFonts w:hint="eastAsia"/>
          <w:szCs w:val="24"/>
          <w:lang w:bidi="ar"/>
        </w:rPr>
      </w:pPr>
    </w:p>
    <w:p>
      <w:pPr>
        <w:pStyle w:val="4"/>
        <w:rPr>
          <w:rFonts w:hint="eastAsia"/>
          <w:lang w:bidi="ar"/>
        </w:rPr>
      </w:pPr>
      <w:bookmarkStart w:id="39" w:name="_Toc166450084"/>
      <w:r>
        <w:rPr>
          <w:rFonts w:hint="eastAsia"/>
          <w:lang w:bidi="ar"/>
        </w:rPr>
        <w:t>3.1.2  测试方法</w:t>
      </w:r>
      <w:bookmarkEnd w:id="39"/>
    </w:p>
    <w:p>
      <w:pPr>
        <w:spacing w:line="440" w:lineRule="exact"/>
        <w:ind w:firstLine="480" w:firstLineChars="200"/>
        <w:jc w:val="both"/>
        <w:rPr>
          <w:szCs w:val="24"/>
          <w:lang w:bidi="ar"/>
        </w:rPr>
      </w:pPr>
      <w:r>
        <w:rPr>
          <w:rFonts w:hint="eastAsia"/>
          <w:szCs w:val="24"/>
          <w:lang w:bidi="ar"/>
        </w:rPr>
        <w:t>XPS光谱中的结合能（Binding Energy）是使用外来的碳污染的结合能（284.8eV）和碳的高分辨率谱（C1s）峰作为参考标准，对氮的高分辨率谱（N1s）进行电荷校正</w:t>
      </w:r>
      <w:r>
        <w:rPr>
          <w:szCs w:val="24"/>
          <w:vertAlign w:val="superscript"/>
          <w:lang w:bidi="ar"/>
        </w:rPr>
        <w:fldChar w:fldCharType="begin"/>
      </w:r>
      <w:r>
        <w:rPr>
          <w:szCs w:val="24"/>
          <w:vertAlign w:val="superscript"/>
          <w:lang w:bidi="ar"/>
        </w:rPr>
        <w:instrText xml:space="preserve"> </w:instrText>
      </w:r>
      <w:r>
        <w:rPr>
          <w:rFonts w:hint="eastAsia"/>
          <w:szCs w:val="24"/>
          <w:vertAlign w:val="superscript"/>
          <w:lang w:bidi="ar"/>
        </w:rPr>
        <w:instrText xml:space="preserve">REF _Ref166436445 \r \h</w:instrText>
      </w:r>
      <w:r>
        <w:rPr>
          <w:szCs w:val="24"/>
          <w:vertAlign w:val="superscript"/>
          <w:lang w:bidi="ar"/>
        </w:rPr>
        <w:instrText xml:space="preserve">  \* MERGEFORMAT </w:instrText>
      </w:r>
      <w:r>
        <w:rPr>
          <w:szCs w:val="24"/>
          <w:vertAlign w:val="superscript"/>
          <w:lang w:bidi="ar"/>
        </w:rPr>
        <w:fldChar w:fldCharType="separate"/>
      </w:r>
      <w:r>
        <w:rPr>
          <w:szCs w:val="24"/>
          <w:vertAlign w:val="superscript"/>
          <w:lang w:bidi="ar"/>
        </w:rPr>
        <w:t>[44]</w:t>
      </w:r>
      <w:r>
        <w:rPr>
          <w:szCs w:val="24"/>
          <w:vertAlign w:val="superscript"/>
          <w:lang w:bidi="ar"/>
        </w:rPr>
        <w:fldChar w:fldCharType="end"/>
      </w:r>
      <w:r>
        <w:rPr>
          <w:rFonts w:hint="eastAsia"/>
          <w:szCs w:val="24"/>
          <w:lang w:bidi="ar"/>
        </w:rPr>
        <w:t>。随后，将校正后的数据输入XPSPEAK软件进行分峰拟合，过程中高斯-洛伦兹参数设置为20%。分别对</w:t>
      </w:r>
      <w:r>
        <w:rPr>
          <w:rFonts w:hint="eastAsia"/>
        </w:rPr>
        <w:t>180、200、220、240、260、280</w:t>
      </w:r>
      <w:r>
        <w:t>°C</w:t>
      </w:r>
      <w:r>
        <w:rPr>
          <w:rFonts w:hint="eastAsia" w:ascii="宋体" w:hAnsi="宋体"/>
        </w:rPr>
        <w:t>的共水热固相</w:t>
      </w:r>
      <w:r>
        <w:rPr>
          <w:rFonts w:hint="eastAsia"/>
          <w:szCs w:val="24"/>
          <w:lang w:bidi="ar"/>
        </w:rPr>
        <w:t>产物炭进行XPS测试</w:t>
      </w:r>
      <w:r>
        <w:rPr>
          <w:rFonts w:hint="eastAsia"/>
          <w:szCs w:val="24"/>
          <w:lang w:eastAsia="zh-CN" w:bidi="ar"/>
        </w:rPr>
        <w:t>（样本送检）</w:t>
      </w:r>
      <w:r>
        <w:rPr>
          <w:rFonts w:hint="eastAsia"/>
          <w:szCs w:val="24"/>
          <w:lang w:bidi="ar"/>
        </w:rPr>
        <w:t>，并分别为N-6、N-A、N-5、N-Q官能团加峰表征，相关分析结果见图</w:t>
      </w:r>
      <w:r>
        <w:rPr>
          <w:rFonts w:hint="default"/>
          <w:szCs w:val="24"/>
          <w:lang w:val="en-US" w:bidi="ar"/>
        </w:rPr>
        <w:t>3-1</w:t>
      </w:r>
      <w:r>
        <w:rPr>
          <w:rFonts w:hint="eastAsia"/>
          <w:szCs w:val="24"/>
          <w:lang w:bidi="ar"/>
        </w:rPr>
        <w:t>。</w:t>
      </w:r>
    </w:p>
    <w:p>
      <w:pPr>
        <w:jc w:val="center"/>
        <w:rPr>
          <w:rFonts w:hint="default"/>
          <w:lang w:val="en-US"/>
        </w:rPr>
      </w:pPr>
      <w:r>
        <w:rPr>
          <w:rFonts w:hint="default"/>
          <w:lang w:val="en-US"/>
        </w:rPr>
        <w:drawing>
          <wp:inline distT="0" distB="0" distL="114300" distR="114300">
            <wp:extent cx="5843270" cy="5958205"/>
            <wp:effectExtent l="0" t="0" r="14605" b="10795"/>
            <wp:docPr id="9" name="Picture 9" descr="XPS-木糖1-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XPS-木糖1-ch"/>
                    <pic:cNvPicPr>
                      <a:picLocks noChangeAspect="1"/>
                    </pic:cNvPicPr>
                  </pic:nvPicPr>
                  <pic:blipFill>
                    <a:blip r:embed="rId13"/>
                    <a:stretch>
                      <a:fillRect/>
                    </a:stretch>
                  </pic:blipFill>
                  <pic:spPr>
                    <a:xfrm>
                      <a:off x="0" y="0"/>
                      <a:ext cx="5843270" cy="5958205"/>
                    </a:xfrm>
                    <a:prstGeom prst="rect">
                      <a:avLst/>
                    </a:prstGeom>
                  </pic:spPr>
                </pic:pic>
              </a:graphicData>
            </a:graphic>
          </wp:inline>
        </w:drawing>
      </w:r>
    </w:p>
    <w:p>
      <w:pPr>
        <w:ind w:firstLine="480" w:firstLineChars="200"/>
        <w:jc w:val="center"/>
      </w:pPr>
    </w:p>
    <w:p>
      <w:pPr>
        <w:ind w:firstLine="420" w:firstLineChars="200"/>
        <w:jc w:val="center"/>
        <w:rPr>
          <w:sz w:val="21"/>
          <w:szCs w:val="21"/>
        </w:rPr>
      </w:pPr>
      <w:r>
        <w:rPr>
          <w:rFonts w:hint="eastAsia"/>
          <w:sz w:val="21"/>
          <w:szCs w:val="21"/>
        </w:rPr>
        <w:t>图</w:t>
      </w:r>
      <w:r>
        <w:rPr>
          <w:rFonts w:hint="default"/>
          <w:sz w:val="21"/>
          <w:szCs w:val="21"/>
          <w:lang w:val="en-US"/>
        </w:rPr>
        <w:t>3-1</w:t>
      </w:r>
      <w:r>
        <w:rPr>
          <w:rFonts w:hint="eastAsia"/>
          <w:sz w:val="21"/>
          <w:szCs w:val="21"/>
        </w:rPr>
        <w:t xml:space="preserve">  XPS对共水热固相产物分析结果</w:t>
      </w:r>
    </w:p>
    <w:p>
      <w:pPr>
        <w:ind w:firstLine="420" w:firstLineChars="200"/>
        <w:jc w:val="center"/>
        <w:rPr>
          <w:sz w:val="21"/>
          <w:szCs w:val="21"/>
        </w:rPr>
      </w:pPr>
      <w:r>
        <w:rPr>
          <w:sz w:val="21"/>
          <w:szCs w:val="21"/>
        </w:rPr>
        <w:t>Fig.</w:t>
      </w:r>
      <w:r>
        <w:rPr>
          <w:rFonts w:hint="default"/>
          <w:sz w:val="21"/>
          <w:szCs w:val="21"/>
          <w:lang w:val="en-US"/>
        </w:rPr>
        <w:t>3-1</w:t>
      </w:r>
      <w:r>
        <w:rPr>
          <w:sz w:val="21"/>
          <w:szCs w:val="21"/>
        </w:rPr>
        <w:t xml:space="preserve">  Results of the solid-phase analysis of the co-hydrothermal product using XPS</w:t>
      </w:r>
    </w:p>
    <w:p>
      <w:pPr>
        <w:spacing w:line="440" w:lineRule="exact"/>
        <w:ind w:firstLine="480" w:firstLineChars="200"/>
      </w:pPr>
    </w:p>
    <w:p>
      <w:pPr>
        <w:spacing w:line="440" w:lineRule="exact"/>
        <w:ind w:firstLine="480" w:firstLineChars="200"/>
        <w:jc w:val="both"/>
      </w:pPr>
      <w:r>
        <w:rPr>
          <w:rFonts w:hint="eastAsia"/>
        </w:rPr>
        <w:t>其中，对于氮官能团的结合能范围，吡啶类N-6为398.9±0.3eV，氨氮类N-A为399.8±0.4eV，吡咯类N-5为400.6±0.3eV，季氮类N-Q为401.4±0.3eV</w:t>
      </w:r>
      <w:r>
        <w:rPr>
          <w:vertAlign w:val="superscript"/>
        </w:rPr>
        <w:fldChar w:fldCharType="begin"/>
      </w:r>
      <w:r>
        <w:rPr>
          <w:vertAlign w:val="superscript"/>
        </w:rPr>
        <w:instrText xml:space="preserve"> </w:instrText>
      </w:r>
      <w:r>
        <w:rPr>
          <w:rFonts w:hint="eastAsia"/>
          <w:vertAlign w:val="superscript"/>
        </w:rPr>
        <w:instrText xml:space="preserve">REF _Ref1858149727 \r \h</w:instrText>
      </w:r>
      <w:r>
        <w:rPr>
          <w:vertAlign w:val="superscript"/>
        </w:rPr>
        <w:instrText xml:space="preserve">  \* MERGEFORMAT </w:instrText>
      </w:r>
      <w:r>
        <w:rPr>
          <w:vertAlign w:val="superscript"/>
        </w:rPr>
        <w:fldChar w:fldCharType="separate"/>
      </w:r>
      <w:r>
        <w:rPr>
          <w:vertAlign w:val="superscript"/>
        </w:rPr>
        <w:t>[38]</w:t>
      </w:r>
      <w:r>
        <w:rPr>
          <w:vertAlign w:val="superscript"/>
        </w:rPr>
        <w:fldChar w:fldCharType="end"/>
      </w:r>
      <w:r>
        <w:rPr>
          <w:rFonts w:hint="eastAsia"/>
        </w:rPr>
        <w:t>。</w:t>
      </w:r>
    </w:p>
    <w:p>
      <w:pPr>
        <w:ind w:firstLine="480" w:firstLineChars="200"/>
        <w:jc w:val="center"/>
      </w:pPr>
    </w:p>
    <w:p>
      <w:pPr>
        <w:pStyle w:val="3"/>
      </w:pPr>
      <w:bookmarkStart w:id="40" w:name="_Toc166450085"/>
      <w:bookmarkStart w:id="41" w:name="_Toc166234360"/>
      <w:r>
        <w:rPr>
          <w:rFonts w:hint="eastAsia"/>
        </w:rPr>
        <w:t>3.2  木糖与水热液反应</w:t>
      </w:r>
      <w:r>
        <w:t>固相</w:t>
      </w:r>
      <w:r>
        <w:rPr>
          <w:rFonts w:hint="eastAsia"/>
        </w:rPr>
        <w:t>产物</w:t>
      </w:r>
      <w:r>
        <w:t>氮官能团结构转化</w:t>
      </w:r>
      <w:r>
        <w:rPr>
          <w:rFonts w:hint="eastAsia"/>
        </w:rPr>
        <w:t>特性</w:t>
      </w:r>
      <w:bookmarkEnd w:id="40"/>
      <w:bookmarkEnd w:id="41"/>
    </w:p>
    <w:p>
      <w:pPr>
        <w:spacing w:line="440" w:lineRule="exact"/>
        <w:ind w:firstLine="480" w:firstLineChars="200"/>
        <w:jc w:val="both"/>
      </w:pPr>
      <w:r>
        <w:rPr>
          <w:rFonts w:hint="eastAsia"/>
        </w:rPr>
        <w:t>根据XPS谱</w:t>
      </w:r>
      <w:r>
        <w:rPr>
          <w:rFonts w:hint="eastAsia"/>
          <w:lang w:eastAsia="zh-CN"/>
        </w:rPr>
        <w:t>图</w:t>
      </w:r>
      <w:r>
        <w:rPr>
          <w:rFonts w:hint="eastAsia"/>
        </w:rPr>
        <w:t>，不同含氮功能团的峰面积可用于计算它们的比例</w:t>
      </w:r>
      <w:r>
        <w:rPr>
          <w:rFonts w:hint="eastAsia"/>
          <w:lang w:eastAsia="zh-CN"/>
        </w:rPr>
        <w:t>，</w:t>
      </w:r>
      <w:r>
        <w:rPr>
          <w:rFonts w:hint="eastAsia"/>
        </w:rPr>
        <w:t>具体的结果展示在图</w:t>
      </w:r>
      <w:r>
        <w:rPr>
          <w:rFonts w:hint="default"/>
          <w:lang w:val="en-US"/>
        </w:rPr>
        <w:t>3-2</w:t>
      </w:r>
      <w:r>
        <w:rPr>
          <w:rFonts w:hint="eastAsia"/>
        </w:rPr>
        <w:t>中。在纤维板中，主要是</w:t>
      </w:r>
      <w:r>
        <w:rPr>
          <w:rFonts w:hint="eastAsia"/>
          <w:lang w:eastAsia="zh-CN"/>
        </w:rPr>
        <w:t>脲醛</w:t>
      </w:r>
      <w:r>
        <w:rPr>
          <w:rFonts w:hint="eastAsia"/>
        </w:rPr>
        <w:t>树脂带入的氮，其结构</w:t>
      </w:r>
      <w:r>
        <w:rPr>
          <w:rFonts w:hint="eastAsia"/>
          <w:lang w:eastAsia="zh-CN"/>
        </w:rPr>
        <w:t>是</w:t>
      </w:r>
      <w:r>
        <w:rPr>
          <w:rFonts w:hint="eastAsia"/>
        </w:rPr>
        <w:t>聚酰胺。因此，在纤维板原料中只存在N-A氮官能团。汪等人在对氮官能团转化的研究中发现</w:t>
      </w:r>
      <w:r>
        <w:rPr>
          <w:rFonts w:hint="eastAsia"/>
          <w:vertAlign w:val="superscript"/>
        </w:rPr>
        <w:fldChar w:fldCharType="begin"/>
      </w:r>
      <w:r>
        <w:rPr>
          <w:rFonts w:hint="eastAsia"/>
          <w:vertAlign w:val="superscript"/>
        </w:rPr>
        <w:instrText xml:space="preserve"> REF _Ref1858149727 \r \h </w:instrText>
      </w:r>
      <w:r>
        <w:rPr>
          <w:vertAlign w:val="superscript"/>
        </w:rPr>
        <w:instrText xml:space="preserve"> \* MERGEFORMAT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 xml:space="preserve">，在共水热温度达到180 </w:t>
      </w:r>
      <w:r>
        <w:t>°C</w:t>
      </w:r>
      <w:r>
        <w:rPr>
          <w:rFonts w:hint="eastAsia"/>
        </w:rPr>
        <w:t xml:space="preserve">之前，酰氨氮结构在100 </w:t>
      </w:r>
      <w:r>
        <w:t>°C</w:t>
      </w:r>
      <w:r>
        <w:rPr>
          <w:rFonts w:hint="eastAsia"/>
        </w:rPr>
        <w:t xml:space="preserve"> - 140 </w:t>
      </w:r>
      <w:r>
        <w:t>°C</w:t>
      </w:r>
      <w:r>
        <w:rPr>
          <w:rFonts w:hint="eastAsia"/>
        </w:rPr>
        <w:t>的温度区间内没有发生转变。因此，本次实验注重研究180</w:t>
      </w:r>
      <w:r>
        <w:t>°C</w:t>
      </w:r>
      <w:r>
        <w:rPr>
          <w:rFonts w:hint="eastAsia"/>
        </w:rPr>
        <w:t>-280</w:t>
      </w:r>
      <w:r>
        <w:t>°C</w:t>
      </w:r>
      <w:r>
        <w:rPr>
          <w:rFonts w:hint="eastAsia"/>
        </w:rPr>
        <w:t>间的各项杂环氮在共热反应固相产物炭中的占比情况，以分析氮转化过程中的稳定性及其变化趋势。</w:t>
      </w:r>
    </w:p>
    <w:p>
      <w:pPr>
        <w:spacing w:before="120" w:beforeLines="50" w:after="120" w:afterLines="50" w:line="360" w:lineRule="auto"/>
        <w:jc w:val="center"/>
      </w:pPr>
      <w:r>
        <w:drawing>
          <wp:inline distT="0" distB="0" distL="114300" distR="114300">
            <wp:extent cx="3836670" cy="3052445"/>
            <wp:effectExtent l="0" t="0" r="5080" b="1143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4"/>
                    <a:stretch>
                      <a:fillRect/>
                    </a:stretch>
                  </pic:blipFill>
                  <pic:spPr>
                    <a:xfrm>
                      <a:off x="0" y="0"/>
                      <a:ext cx="3836670" cy="3052445"/>
                    </a:xfrm>
                    <a:prstGeom prst="rect">
                      <a:avLst/>
                    </a:prstGeom>
                    <a:noFill/>
                    <a:ln>
                      <a:noFill/>
                    </a:ln>
                  </pic:spPr>
                </pic:pic>
              </a:graphicData>
            </a:graphic>
          </wp:inline>
        </w:drawing>
      </w:r>
    </w:p>
    <w:p>
      <w:pPr>
        <w:jc w:val="center"/>
        <w:rPr>
          <w:sz w:val="21"/>
          <w:szCs w:val="21"/>
        </w:rPr>
      </w:pPr>
      <w:r>
        <w:rPr>
          <w:rFonts w:hint="eastAsia"/>
          <w:sz w:val="21"/>
          <w:szCs w:val="21"/>
        </w:rPr>
        <w:t>图</w:t>
      </w:r>
      <w:r>
        <w:rPr>
          <w:rFonts w:hint="default"/>
          <w:sz w:val="21"/>
          <w:szCs w:val="21"/>
          <w:lang w:val="en-US"/>
        </w:rPr>
        <w:t>3-2</w:t>
      </w:r>
      <w:r>
        <w:rPr>
          <w:rFonts w:hint="eastAsia"/>
          <w:sz w:val="21"/>
          <w:szCs w:val="21"/>
        </w:rPr>
        <w:t xml:space="preserve">  木糖与水热液反应固相产物不同氮官能团占比</w:t>
      </w:r>
    </w:p>
    <w:p>
      <w:pPr>
        <w:jc w:val="center"/>
        <w:rPr>
          <w:sz w:val="21"/>
          <w:szCs w:val="21"/>
        </w:rPr>
      </w:pPr>
      <w:r>
        <w:rPr>
          <w:sz w:val="21"/>
          <w:szCs w:val="21"/>
        </w:rPr>
        <w:t>Fig.</w:t>
      </w:r>
      <w:r>
        <w:rPr>
          <w:rFonts w:hint="default"/>
          <w:sz w:val="21"/>
          <w:szCs w:val="21"/>
          <w:lang w:val="en-US"/>
        </w:rPr>
        <w:t>3-2</w:t>
      </w:r>
      <w:r>
        <w:rPr>
          <w:sz w:val="21"/>
          <w:szCs w:val="21"/>
        </w:rPr>
        <w:t xml:space="preserve">  Nitrogen functional group ratios in the solid-phase products of xylose and hydrothermal solution reaction</w:t>
      </w:r>
    </w:p>
    <w:p>
      <w:pPr>
        <w:jc w:val="center"/>
        <w:rPr>
          <w:rFonts w:hint="eastAsia"/>
          <w:sz w:val="21"/>
          <w:szCs w:val="21"/>
        </w:rPr>
      </w:pPr>
    </w:p>
    <w:p>
      <w:pPr>
        <w:spacing w:line="440" w:lineRule="exact"/>
        <w:ind w:firstLine="480" w:firstLineChars="200"/>
        <w:jc w:val="both"/>
      </w:pPr>
      <w:r>
        <w:rPr>
          <w:rFonts w:hint="eastAsia"/>
        </w:rPr>
        <w:t>汪等人根据之前的实验结果和氮在固相中的保存增加，可以推测在固相中氮可以有三种迁移和转化途径</w:t>
      </w:r>
      <w:r>
        <w:rPr>
          <w:vertAlign w:val="superscript"/>
        </w:rPr>
        <w:fldChar w:fldCharType="begin"/>
      </w:r>
      <w:r>
        <w:rPr>
          <w:vertAlign w:val="superscript"/>
        </w:rPr>
        <w:instrText xml:space="preserve"> </w:instrText>
      </w:r>
      <w:r>
        <w:rPr>
          <w:rFonts w:hint="eastAsia"/>
          <w:vertAlign w:val="superscript"/>
        </w:rPr>
        <w:instrText xml:space="preserve">REF _Ref1858149727 \r \h</w:instrText>
      </w:r>
      <w:r>
        <w:rPr>
          <w:vertAlign w:val="superscript"/>
        </w:rPr>
        <w:instrText xml:space="preserve">  \* MERGEFORMAT </w:instrText>
      </w:r>
      <w:r>
        <w:rPr>
          <w:vertAlign w:val="superscript"/>
        </w:rPr>
        <w:fldChar w:fldCharType="separate"/>
      </w:r>
      <w:r>
        <w:rPr>
          <w:vertAlign w:val="superscript"/>
        </w:rPr>
        <w:t>[38]</w:t>
      </w:r>
      <w:r>
        <w:rPr>
          <w:vertAlign w:val="superscript"/>
        </w:rPr>
        <w:fldChar w:fldCharType="end"/>
      </w:r>
      <w:r>
        <w:rPr>
          <w:rFonts w:hint="eastAsia"/>
        </w:rPr>
        <w:t>。路径1</w:t>
      </w:r>
      <w:r>
        <w:rPr>
          <w:rFonts w:hint="eastAsia"/>
          <w:lang w:eastAsia="zh-CN"/>
        </w:rPr>
        <w:t>是</w:t>
      </w:r>
      <w:r>
        <w:rPr>
          <w:rFonts w:hint="eastAsia"/>
        </w:rPr>
        <w:t>氮通过聚酰亚胺聚合，这是</w:t>
      </w:r>
      <w:r>
        <w:rPr>
          <w:rFonts w:hint="eastAsia"/>
          <w:lang w:eastAsia="zh-CN"/>
        </w:rPr>
        <w:t>胶黏剂</w:t>
      </w:r>
      <w:r>
        <w:rPr>
          <w:rFonts w:hint="eastAsia"/>
        </w:rPr>
        <w:t>自转化的过程。路径2</w:t>
      </w:r>
      <w:r>
        <w:rPr>
          <w:rFonts w:hint="eastAsia"/>
          <w:lang w:eastAsia="zh-CN"/>
        </w:rPr>
        <w:t>是</w:t>
      </w:r>
      <w:r>
        <w:rPr>
          <w:rFonts w:hint="eastAsia"/>
        </w:rPr>
        <w:t>自由氮在液相中与固相中木质纤维素结构中的活性位点发生反应，导致氮从液相迁移到固相，然后通过聚合、缩合和芳香化转化为芳香杂环。路径3</w:t>
      </w:r>
      <w:r>
        <w:rPr>
          <w:rFonts w:hint="eastAsia"/>
          <w:lang w:eastAsia="zh-CN"/>
        </w:rPr>
        <w:t>是</w:t>
      </w:r>
      <w:r>
        <w:rPr>
          <w:rFonts w:hint="eastAsia"/>
        </w:rPr>
        <w:t>自由氮在液相中与木质纤维素的水解产物发生反应，然后通过聚合、缩合和其他反应再次转化为固相，伴随着芳香杂环的形成。</w:t>
      </w:r>
    </w:p>
    <w:p>
      <w:pPr>
        <w:spacing w:line="440" w:lineRule="exact"/>
        <w:ind w:firstLine="480" w:firstLineChars="200"/>
        <w:jc w:val="both"/>
      </w:pPr>
      <w:r>
        <w:rPr>
          <w:rFonts w:hint="eastAsia"/>
        </w:rPr>
        <w:t xml:space="preserve">固相N-A质量分数的变化与水热温度呈现一定的关系。在240 </w:t>
      </w:r>
      <w:r>
        <w:t>°C</w:t>
      </w:r>
      <w:r>
        <w:rPr>
          <w:rFonts w:hint="eastAsia"/>
        </w:rPr>
        <w:t xml:space="preserve">的温度下，N-A的含量明显减少，而在260 </w:t>
      </w:r>
      <w:r>
        <w:t>°C</w:t>
      </w:r>
      <w:r>
        <w:rPr>
          <w:rFonts w:hint="eastAsia"/>
        </w:rPr>
        <w:t xml:space="preserve">和280 </w:t>
      </w:r>
      <w:r>
        <w:t>°C</w:t>
      </w:r>
      <w:r>
        <w:rPr>
          <w:rFonts w:hint="eastAsia"/>
        </w:rPr>
        <w:t xml:space="preserve">下没有明显的变化。这一结果表明，在水热液中，氮元素在固相产物中固结的过程中，会以氨氮的形式存在。固相产物中的N-5结构较为稳定，主要是由直链的酰氨氮转化而来。而在260 </w:t>
      </w:r>
      <w:r>
        <w:t>°C</w:t>
      </w:r>
      <w:r>
        <w:rPr>
          <w:rFonts w:hint="eastAsia"/>
        </w:rPr>
        <w:t xml:space="preserve">的条件下，N-Q的产率显著高于200 </w:t>
      </w:r>
      <w:r>
        <w:t>°C</w:t>
      </w:r>
      <w:r>
        <w:rPr>
          <w:rFonts w:hint="eastAsia"/>
        </w:rPr>
        <w:t>，而在该温度下氮的保留率也</w:t>
      </w:r>
      <w:r>
        <w:rPr>
          <w:rFonts w:hint="eastAsia"/>
          <w:lang w:eastAsia="zh-CN"/>
        </w:rPr>
        <w:t>有</w:t>
      </w:r>
      <w:r>
        <w:rPr>
          <w:rFonts w:hint="eastAsia"/>
        </w:rPr>
        <w:t xml:space="preserve">一定提高。这可以解释为，在260 </w:t>
      </w:r>
      <w:r>
        <w:t>°C</w:t>
      </w:r>
      <w:r>
        <w:rPr>
          <w:rFonts w:hint="eastAsia"/>
        </w:rPr>
        <w:t xml:space="preserve">下，部分自由水解产物返回固相。这个过程依赖液相中碳基团的丰度，其中自由氮也广泛参与。从液相返回固相的自由氮最初以N-A的形式存在，然后通过后续的缩聚和芳香化过程转化为杂环氮。在220 </w:t>
      </w:r>
      <w:r>
        <w:t>°C</w:t>
      </w:r>
      <w:r>
        <w:rPr>
          <w:rFonts w:hint="eastAsia"/>
        </w:rPr>
        <w:t xml:space="preserve">-260 </w:t>
      </w:r>
      <w:r>
        <w:t>°C</w:t>
      </w:r>
      <w:r>
        <w:rPr>
          <w:rFonts w:hint="eastAsia"/>
        </w:rPr>
        <w:t>的温度范围内，杂环氮的含量逐渐减少，这表明氮在</w:t>
      </w:r>
      <w:r>
        <w:rPr>
          <w:rFonts w:hint="eastAsia"/>
          <w:lang w:eastAsia="zh-CN"/>
        </w:rPr>
        <w:t>水热炭</w:t>
      </w:r>
      <w:r>
        <w:rPr>
          <w:rFonts w:hint="eastAsia"/>
        </w:rPr>
        <w:t xml:space="preserve">的聚合、缩聚和芳香化中起着重要作用。当水热处理温度达到280 </w:t>
      </w:r>
      <w:r>
        <w:t>°C</w:t>
      </w:r>
      <w:r>
        <w:rPr>
          <w:rFonts w:hint="eastAsia"/>
        </w:rPr>
        <w:t>时，N-6的比例显著增加，其中一部分N-Q转化为较不稳定的N-6。分析结果显示，在低温水热反应后，氮主要存在于煤结构的边缘。此时形成的杂环氮主要由N-5和N-6组成，而在较高温度下，杂环氮进一步转化为N-6</w:t>
      </w:r>
      <w:r>
        <w:rPr>
          <w:rFonts w:hint="eastAsia"/>
          <w:lang w:eastAsia="zh-CN"/>
        </w:rPr>
        <w:t>和</w:t>
      </w:r>
      <w:r>
        <w:rPr>
          <w:rFonts w:hint="eastAsia"/>
          <w:lang w:val="en-US" w:eastAsia="zh-CN"/>
        </w:rPr>
        <w:t>N-Q</w:t>
      </w:r>
      <w:r>
        <w:rPr>
          <w:rFonts w:hint="eastAsia"/>
        </w:rPr>
        <w:t>，这意味着高温水热反应</w:t>
      </w:r>
      <w:r>
        <w:rPr>
          <w:rFonts w:hint="eastAsia"/>
          <w:lang w:eastAsia="zh-CN"/>
        </w:rPr>
        <w:t>可</w:t>
      </w:r>
      <w:r>
        <w:rPr>
          <w:rFonts w:hint="eastAsia"/>
        </w:rPr>
        <w:t>促进固相产物中氮的结构稳定性进一步增加。</w:t>
      </w:r>
    </w:p>
    <w:p>
      <w:pPr>
        <w:spacing w:line="440" w:lineRule="exact"/>
        <w:ind w:firstLine="480" w:firstLineChars="200"/>
        <w:jc w:val="both"/>
        <w:rPr>
          <w:rFonts w:hint="eastAsia"/>
        </w:rPr>
      </w:pPr>
      <w:r>
        <w:rPr>
          <w:rFonts w:hint="eastAsia"/>
        </w:rPr>
        <w:t xml:space="preserve">同时，在不同温度下的水热共热反应中，杂环氮的比例始终保持N-6所占比例高于N-5。这印证了在水热共热反应中，N-6相对于N-5更为稳定。而随着反应温度升高，N-Q在反应体系中的比例逐渐增加，在260 </w:t>
      </w:r>
      <w:r>
        <w:t>°C</w:t>
      </w:r>
      <w:r>
        <w:rPr>
          <w:rFonts w:hint="eastAsia"/>
        </w:rPr>
        <w:t>时达到最大值，与此同时N-6与N-5的比例明显减少。这表明在较高温度条件下，N-5和N-6进一步转化为结构更稳定、不易分解的N-Q，这进一步表明N-Q的结构相对于其他三种氮功能团更加牢固，不易发生二次反应生成其他氮功能团。</w:t>
      </w:r>
    </w:p>
    <w:p>
      <w:pPr>
        <w:spacing w:before="120" w:beforeLines="50" w:after="120" w:afterLines="50" w:line="360" w:lineRule="auto"/>
        <w:ind w:firstLine="480" w:firstLineChars="200"/>
      </w:pPr>
      <w:r>
        <w:rPr>
          <w:rFonts w:hint="eastAsia"/>
        </w:rPr>
        <w:br w:type="page"/>
      </w:r>
    </w:p>
    <w:p>
      <w:pPr>
        <w:pStyle w:val="2"/>
      </w:pPr>
      <w:bookmarkStart w:id="42" w:name="_Toc166450086"/>
      <w:r>
        <w:rPr>
          <w:rFonts w:hint="eastAsia"/>
        </w:rPr>
        <w:t>第四章  水热液中氮的迁移特性研究</w:t>
      </w:r>
      <w:bookmarkEnd w:id="42"/>
    </w:p>
    <w:p>
      <w:pPr>
        <w:pStyle w:val="3"/>
      </w:pPr>
      <w:bookmarkStart w:id="43" w:name="_Toc166234354"/>
      <w:bookmarkStart w:id="44" w:name="_Toc166450087"/>
      <w:r>
        <w:rPr>
          <w:rFonts w:hint="eastAsia"/>
        </w:rPr>
        <w:t>4.1 测试</w:t>
      </w:r>
      <w:bookmarkEnd w:id="43"/>
      <w:r>
        <w:rPr>
          <w:rFonts w:hint="eastAsia"/>
        </w:rPr>
        <w:t>设备与方法</w:t>
      </w:r>
      <w:bookmarkEnd w:id="44"/>
    </w:p>
    <w:p>
      <w:pPr>
        <w:pStyle w:val="4"/>
        <w:rPr>
          <w:rFonts w:hint="eastAsia"/>
        </w:rPr>
      </w:pPr>
      <w:bookmarkStart w:id="45" w:name="_Toc166450088"/>
      <w:r>
        <w:rPr>
          <w:rFonts w:hint="eastAsia"/>
        </w:rPr>
        <w:t>4.1.1  测试设备</w:t>
      </w:r>
      <w:bookmarkEnd w:id="45"/>
    </w:p>
    <w:p>
      <w:pPr>
        <w:pStyle w:val="6"/>
        <w:spacing w:line="440" w:lineRule="exact"/>
        <w:ind w:firstLine="434"/>
        <w:rPr>
          <w:lang w:bidi="ar"/>
        </w:rPr>
      </w:pPr>
      <w:r>
        <w:rPr>
          <w:rFonts w:hint="eastAsia"/>
          <w:lang w:bidi="ar"/>
        </w:rPr>
        <w:t>本实验选用日本Shimadzu公司的Shimadzu UV-1600紫外-可见分光光度计，</w:t>
      </w:r>
      <w:r>
        <w:rPr>
          <w:rFonts w:ascii="宋体" w:hAnsi="宋体" w:cs="宋体"/>
          <w:lang w:bidi="ar"/>
        </w:rPr>
        <w:t>基于不同形态氮化合物在特定波长下的吸光度差异</w:t>
      </w:r>
      <w:r>
        <w:rPr>
          <w:rFonts w:hint="eastAsia" w:ascii="宋体" w:hAnsi="宋体" w:cs="宋体"/>
          <w:lang w:bidi="ar"/>
        </w:rPr>
        <w:t>，</w:t>
      </w:r>
      <w:r>
        <w:rPr>
          <w:rFonts w:hint="eastAsia"/>
          <w:lang w:bidi="ar"/>
        </w:rPr>
        <w:t>测试水热液中的总氮、硝酸根氮（NO</w:t>
      </w:r>
      <w:r>
        <w:rPr>
          <w:rFonts w:hint="eastAsia"/>
          <w:vertAlign w:val="subscript"/>
          <w:lang w:bidi="ar"/>
        </w:rPr>
        <w:t>3</w:t>
      </w:r>
      <w:r>
        <w:rPr>
          <w:vertAlign w:val="superscript"/>
          <w:lang w:bidi="ar"/>
        </w:rPr>
        <w:t>-</w:t>
      </w:r>
      <w:r>
        <w:rPr>
          <w:rFonts w:hint="eastAsia"/>
          <w:lang w:bidi="ar"/>
        </w:rPr>
        <w:t>-N）和氨氮（NH</w:t>
      </w:r>
      <w:r>
        <w:rPr>
          <w:rFonts w:hint="eastAsia"/>
          <w:vertAlign w:val="subscript"/>
          <w:lang w:bidi="ar"/>
        </w:rPr>
        <w:t>4</w:t>
      </w:r>
      <w:r>
        <w:rPr>
          <w:rFonts w:hint="eastAsia"/>
          <w:vertAlign w:val="superscript"/>
          <w:lang w:bidi="ar"/>
        </w:rPr>
        <w:t>+</w:t>
      </w:r>
      <w:r>
        <w:rPr>
          <w:lang w:bidi="ar"/>
        </w:rPr>
        <w:t>-</w:t>
      </w:r>
      <w:r>
        <w:rPr>
          <w:rFonts w:hint="eastAsia"/>
          <w:lang w:bidi="ar"/>
        </w:rPr>
        <w:t>N）。分光光度法是一种操作简便且重复性好的测量溶液中含氮和含硫物质的方法。</w:t>
      </w:r>
    </w:p>
    <w:p>
      <w:pPr>
        <w:pStyle w:val="6"/>
        <w:spacing w:line="440" w:lineRule="exact"/>
        <w:ind w:firstLine="434"/>
        <w:rPr>
          <w:lang w:bidi="ar"/>
        </w:rPr>
      </w:pPr>
      <w:r>
        <w:rPr>
          <w:rFonts w:hint="eastAsia"/>
          <w:lang w:bidi="ar"/>
        </w:rPr>
        <w:t>UV-1600使用氘灯和钨灯的组合光源。氘灯提供紫外光，而钨灯提供可见光。这两种光源覆盖了从紫外到可见光谱范围的光。在进行测量之前，将样品放置在样品室中以最大限度地减少杂质干扰和背景噪声。实验以要测量的特定波长为准来调整光栅不同的波长范围，通过光栅的作用对光线进行分散。光通过样品后，进入检测器，通过测量透过样品的光强度，并将其转换为电信号。检测器输出的电信号经过数据处理，包括放大、滤波和数字化处理，最终转换为示数并显示光谱峰图。</w:t>
      </w:r>
    </w:p>
    <w:p>
      <w:pPr>
        <w:pStyle w:val="6"/>
        <w:spacing w:line="440" w:lineRule="exact"/>
        <w:ind w:firstLine="0" w:firstLineChars="0"/>
        <w:rPr>
          <w:rFonts w:hint="eastAsia"/>
          <w:lang w:bidi="ar"/>
        </w:rPr>
      </w:pPr>
    </w:p>
    <w:p>
      <w:pPr>
        <w:pStyle w:val="4"/>
        <w:rPr>
          <w:rFonts w:hint="eastAsia"/>
          <w:lang w:bidi="ar"/>
        </w:rPr>
      </w:pPr>
      <w:bookmarkStart w:id="46" w:name="_Toc166450089"/>
      <w:r>
        <w:rPr>
          <w:rFonts w:hint="eastAsia"/>
          <w:lang w:bidi="ar"/>
        </w:rPr>
        <w:t>4.1.2  测试方法</w:t>
      </w:r>
      <w:bookmarkEnd w:id="46"/>
    </w:p>
    <w:p>
      <w:pPr>
        <w:pStyle w:val="6"/>
        <w:spacing w:line="440" w:lineRule="exact"/>
        <w:ind w:firstLine="434"/>
        <w:jc w:val="both"/>
        <w:rPr>
          <w:lang w:bidi="ar"/>
        </w:rPr>
      </w:pPr>
      <w:r>
        <w:rPr>
          <w:rFonts w:hint="eastAsia"/>
          <w:lang w:bidi="ar"/>
        </w:rPr>
        <w:t>其中总氮和NO</w:t>
      </w:r>
      <w:r>
        <w:rPr>
          <w:rFonts w:hint="eastAsia"/>
          <w:vertAlign w:val="subscript"/>
          <w:lang w:bidi="ar"/>
        </w:rPr>
        <w:t>3</w:t>
      </w:r>
      <w:r>
        <w:rPr>
          <w:vertAlign w:val="superscript"/>
          <w:lang w:bidi="ar"/>
        </w:rPr>
        <w:t>-</w:t>
      </w:r>
      <w:r>
        <w:rPr>
          <w:rFonts w:hint="eastAsia"/>
          <w:lang w:bidi="ar"/>
        </w:rPr>
        <w:t>-N</w:t>
      </w:r>
      <w:r>
        <w:rPr>
          <w:rFonts w:hint="eastAsia"/>
          <w:lang w:eastAsia="zh-CN" w:bidi="ar"/>
        </w:rPr>
        <w:t>按照</w:t>
      </w:r>
      <w:r>
        <w:rPr>
          <w:rFonts w:hint="eastAsia"/>
          <w:lang w:bidi="ar"/>
        </w:rPr>
        <w:t>中华人民共和国环境保护国家标准HJ 636-2012进行测试，NH</w:t>
      </w:r>
      <w:r>
        <w:rPr>
          <w:rFonts w:hint="eastAsia"/>
          <w:vertAlign w:val="subscript"/>
          <w:lang w:bidi="ar"/>
        </w:rPr>
        <w:t>4</w:t>
      </w:r>
      <w:r>
        <w:rPr>
          <w:rFonts w:hint="eastAsia"/>
          <w:vertAlign w:val="superscript"/>
          <w:lang w:bidi="ar"/>
        </w:rPr>
        <w:t>+</w:t>
      </w:r>
      <w:r>
        <w:rPr>
          <w:lang w:bidi="ar"/>
        </w:rPr>
        <w:t>-</w:t>
      </w:r>
      <w:r>
        <w:rPr>
          <w:rFonts w:hint="eastAsia"/>
          <w:lang w:bidi="ar"/>
        </w:rPr>
        <w:t>N依据中华人民共和国国家环境保护标准HJ 536-2009测试</w:t>
      </w:r>
      <w:r>
        <w:rPr>
          <w:rFonts w:hint="eastAsia"/>
          <w:vertAlign w:val="superscript"/>
          <w:lang w:eastAsia="zh-CN" w:bidi="ar"/>
        </w:rPr>
        <w:fldChar w:fldCharType="begin"/>
      </w:r>
      <w:r>
        <w:rPr>
          <w:rFonts w:hint="eastAsia"/>
          <w:vertAlign w:val="superscript"/>
          <w:lang w:eastAsia="zh-CN" w:bidi="ar"/>
        </w:rPr>
        <w:instrText xml:space="preserve"> REF _Ref1858149727 \r \h </w:instrText>
      </w:r>
      <w:r>
        <w:rPr>
          <w:rFonts w:hint="eastAsia"/>
          <w:vertAlign w:val="superscript"/>
          <w:lang w:eastAsia="zh-CN" w:bidi="ar"/>
        </w:rPr>
        <w:fldChar w:fldCharType="separate"/>
      </w:r>
      <w:r>
        <w:rPr>
          <w:rFonts w:hint="eastAsia"/>
          <w:vertAlign w:val="superscript"/>
          <w:lang w:eastAsia="zh-CN" w:bidi="ar"/>
        </w:rPr>
        <w:t>[38]</w:t>
      </w:r>
      <w:r>
        <w:rPr>
          <w:rFonts w:hint="eastAsia"/>
          <w:vertAlign w:val="superscript"/>
          <w:lang w:eastAsia="zh-CN" w:bidi="ar"/>
        </w:rPr>
        <w:fldChar w:fldCharType="end"/>
      </w:r>
      <w:r>
        <w:rPr>
          <w:rFonts w:hint="eastAsia"/>
          <w:lang w:bidi="ar"/>
        </w:rPr>
        <w:t>。</w:t>
      </w:r>
    </w:p>
    <w:p>
      <w:pPr>
        <w:pStyle w:val="6"/>
        <w:spacing w:before="120" w:beforeLines="50" w:after="120" w:afterLines="50"/>
        <w:ind w:firstLine="0" w:firstLineChars="0"/>
        <w:jc w:val="center"/>
      </w:pPr>
      <w:r>
        <w:drawing>
          <wp:inline distT="0" distB="0" distL="114300" distR="114300">
            <wp:extent cx="2705735" cy="1358265"/>
            <wp:effectExtent l="0" t="0" r="8890" b="698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5">
                      <a:lum bright="18000" contrast="12000"/>
                    </a:blip>
                    <a:stretch>
                      <a:fillRect/>
                    </a:stretch>
                  </pic:blipFill>
                  <pic:spPr>
                    <a:xfrm>
                      <a:off x="0" y="0"/>
                      <a:ext cx="2705735" cy="1358265"/>
                    </a:xfrm>
                    <a:prstGeom prst="rect">
                      <a:avLst/>
                    </a:prstGeom>
                    <a:noFill/>
                    <a:ln>
                      <a:noFill/>
                    </a:ln>
                  </pic:spPr>
                </pic:pic>
              </a:graphicData>
            </a:graphic>
          </wp:inline>
        </w:drawing>
      </w:r>
    </w:p>
    <w:p>
      <w:pPr>
        <w:pStyle w:val="6"/>
        <w:spacing w:line="240" w:lineRule="auto"/>
        <w:ind w:firstLine="0" w:firstLineChars="0"/>
        <w:jc w:val="center"/>
        <w:rPr>
          <w:sz w:val="21"/>
          <w:szCs w:val="21"/>
        </w:rPr>
      </w:pPr>
      <w:r>
        <w:rPr>
          <w:rFonts w:hint="eastAsia"/>
          <w:sz w:val="21"/>
          <w:szCs w:val="21"/>
        </w:rPr>
        <w:t>图</w:t>
      </w:r>
      <w:r>
        <w:rPr>
          <w:rFonts w:hint="default"/>
          <w:sz w:val="21"/>
          <w:szCs w:val="21"/>
          <w:lang w:val="en-US"/>
        </w:rPr>
        <w:t>4-1</w:t>
      </w:r>
      <w:r>
        <w:rPr>
          <w:rFonts w:hint="eastAsia"/>
          <w:sz w:val="21"/>
          <w:szCs w:val="21"/>
        </w:rPr>
        <w:t xml:space="preserve">  氨氮的水杨酸分光光度法测定样本</w:t>
      </w:r>
    </w:p>
    <w:p>
      <w:pPr>
        <w:pStyle w:val="6"/>
        <w:spacing w:line="240" w:lineRule="auto"/>
        <w:ind w:firstLine="0" w:firstLineChars="0"/>
        <w:jc w:val="center"/>
        <w:rPr>
          <w:sz w:val="21"/>
          <w:szCs w:val="21"/>
        </w:rPr>
      </w:pPr>
      <w:r>
        <w:rPr>
          <w:sz w:val="21"/>
          <w:szCs w:val="21"/>
        </w:rPr>
        <w:t>Fig.</w:t>
      </w:r>
      <w:r>
        <w:rPr>
          <w:rFonts w:hint="default"/>
          <w:sz w:val="21"/>
          <w:szCs w:val="21"/>
          <w:lang w:val="en-US"/>
        </w:rPr>
        <w:t>4-1</w:t>
      </w:r>
      <w:r>
        <w:rPr>
          <w:sz w:val="21"/>
          <w:szCs w:val="21"/>
        </w:rPr>
        <w:t xml:space="preserve">  Determination of ammonia nitrogen in samples using the salicylic acid spectrophotometric method</w:t>
      </w:r>
    </w:p>
    <w:p>
      <w:pPr>
        <w:pStyle w:val="6"/>
        <w:spacing w:line="240" w:lineRule="auto"/>
        <w:ind w:firstLine="0" w:firstLineChars="0"/>
        <w:jc w:val="center"/>
      </w:pPr>
    </w:p>
    <w:p>
      <w:pPr>
        <w:pStyle w:val="6"/>
        <w:spacing w:line="440" w:lineRule="exact"/>
        <w:ind w:firstLine="480" w:firstLineChars="200"/>
      </w:pPr>
      <w:r>
        <w:rPr>
          <w:rFonts w:hint="eastAsia"/>
        </w:rPr>
        <w:t>在亚硝基铁氰化钠和碱性环境的共同作用下，水中的氨离子和氨与水杨酸盐和次氯酸盐反应，形成</w:t>
      </w:r>
      <w:r>
        <w:rPr>
          <w:rFonts w:hint="eastAsia"/>
          <w:lang w:eastAsia="zh-CN"/>
        </w:rPr>
        <w:t>如图</w:t>
      </w:r>
      <w:r>
        <w:rPr>
          <w:rFonts w:hint="default"/>
          <w:lang w:val="en-US" w:eastAsia="zh-CN"/>
        </w:rPr>
        <w:t>4-1</w:t>
      </w:r>
      <w:r>
        <w:rPr>
          <w:rFonts w:hint="eastAsia"/>
          <w:lang w:val="en-US" w:eastAsia="zh-CN"/>
        </w:rPr>
        <w:t>所示</w:t>
      </w:r>
      <w:r>
        <w:rPr>
          <w:rFonts w:hint="eastAsia"/>
        </w:rPr>
        <w:t>蓝色化合物。蓝色化合物浓度越高，则说明氨氮含量越高，并在697 nm下使用分光度计读取吸光度得到样品中的氨氮含量。图</w:t>
      </w:r>
      <w:r>
        <w:rPr>
          <w:rFonts w:hint="default"/>
          <w:lang w:val="en-US"/>
        </w:rPr>
        <w:t>4-2</w:t>
      </w:r>
      <w:r>
        <w:rPr>
          <w:rFonts w:hint="eastAsia"/>
        </w:rPr>
        <w:t>及图</w:t>
      </w:r>
      <w:r>
        <w:rPr>
          <w:rFonts w:hint="default"/>
          <w:lang w:val="en-US"/>
        </w:rPr>
        <w:t>4-3</w:t>
      </w:r>
      <w:r>
        <w:rPr>
          <w:rFonts w:hint="eastAsia"/>
        </w:rPr>
        <w:t>为液相氮</w:t>
      </w:r>
      <w:r>
        <w:rPr>
          <w:rFonts w:hint="eastAsia"/>
          <w:lang w:bidi="ar"/>
        </w:rPr>
        <w:t>UV</w:t>
      </w:r>
      <w:r>
        <w:rPr>
          <w:rFonts w:hint="eastAsia"/>
        </w:rPr>
        <w:t>测试标准曲线，通过标准曲线可通过样品的吸光度得到相应的氮含量。</w:t>
      </w:r>
    </w:p>
    <w:p>
      <w:pPr>
        <w:jc w:val="center"/>
      </w:pPr>
      <w:r>
        <w:drawing>
          <wp:inline distT="0" distB="0" distL="114300" distR="114300">
            <wp:extent cx="3071495" cy="2188845"/>
            <wp:effectExtent l="0" t="0" r="8255" b="190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6"/>
                    <a:stretch>
                      <a:fillRect/>
                    </a:stretch>
                  </pic:blipFill>
                  <pic:spPr>
                    <a:xfrm>
                      <a:off x="0" y="0"/>
                      <a:ext cx="3071495" cy="2188845"/>
                    </a:xfrm>
                    <a:prstGeom prst="rect">
                      <a:avLst/>
                    </a:prstGeom>
                    <a:noFill/>
                    <a:ln>
                      <a:noFill/>
                    </a:ln>
                  </pic:spPr>
                </pic:pic>
              </a:graphicData>
            </a:graphic>
          </wp:inline>
        </w:drawing>
      </w:r>
    </w:p>
    <w:p>
      <w:pPr>
        <w:jc w:val="center"/>
      </w:pPr>
    </w:p>
    <w:p>
      <w:pPr>
        <w:jc w:val="center"/>
        <w:rPr>
          <w:sz w:val="21"/>
          <w:szCs w:val="21"/>
        </w:rPr>
      </w:pPr>
      <w:r>
        <w:rPr>
          <w:rFonts w:hint="eastAsia"/>
          <w:sz w:val="21"/>
          <w:szCs w:val="21"/>
        </w:rPr>
        <w:t>图</w:t>
      </w:r>
      <w:r>
        <w:rPr>
          <w:rFonts w:hint="default"/>
          <w:sz w:val="21"/>
          <w:szCs w:val="21"/>
          <w:lang w:val="en-US"/>
        </w:rPr>
        <w:t>4-2</w:t>
      </w:r>
      <w:r>
        <w:rPr>
          <w:rFonts w:hint="eastAsia"/>
          <w:sz w:val="21"/>
          <w:szCs w:val="21"/>
        </w:rPr>
        <w:t xml:space="preserve">  总氮测试吸光度曲线</w:t>
      </w:r>
    </w:p>
    <w:p>
      <w:pPr>
        <w:jc w:val="center"/>
        <w:rPr>
          <w:sz w:val="21"/>
          <w:szCs w:val="21"/>
        </w:rPr>
      </w:pPr>
      <w:r>
        <w:rPr>
          <w:sz w:val="21"/>
          <w:szCs w:val="21"/>
        </w:rPr>
        <w:t>Fig.</w:t>
      </w:r>
      <w:r>
        <w:rPr>
          <w:rFonts w:hint="default"/>
          <w:sz w:val="21"/>
          <w:szCs w:val="21"/>
          <w:lang w:val="en-US"/>
        </w:rPr>
        <w:t>4-2</w:t>
      </w:r>
      <w:r>
        <w:rPr>
          <w:sz w:val="21"/>
          <w:szCs w:val="21"/>
        </w:rPr>
        <w:t xml:space="preserve">  Absorbance curve for total nitrogen analysis</w:t>
      </w:r>
    </w:p>
    <w:p/>
    <w:p>
      <w:pPr>
        <w:pStyle w:val="6"/>
        <w:spacing w:before="120" w:beforeLines="50" w:after="120" w:afterLines="50"/>
        <w:ind w:firstLine="0" w:firstLineChars="0"/>
        <w:jc w:val="center"/>
      </w:pPr>
      <w:r>
        <w:drawing>
          <wp:inline distT="0" distB="0" distL="114300" distR="114300">
            <wp:extent cx="3058795" cy="2180590"/>
            <wp:effectExtent l="0" t="0" r="5080" b="1016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7"/>
                    <a:stretch>
                      <a:fillRect/>
                    </a:stretch>
                  </pic:blipFill>
                  <pic:spPr>
                    <a:xfrm>
                      <a:off x="0" y="0"/>
                      <a:ext cx="3058795" cy="2180590"/>
                    </a:xfrm>
                    <a:prstGeom prst="rect">
                      <a:avLst/>
                    </a:prstGeom>
                    <a:noFill/>
                    <a:ln>
                      <a:noFill/>
                    </a:ln>
                  </pic:spPr>
                </pic:pic>
              </a:graphicData>
            </a:graphic>
          </wp:inline>
        </w:drawing>
      </w:r>
    </w:p>
    <w:p>
      <w:pPr>
        <w:jc w:val="center"/>
        <w:rPr>
          <w:sz w:val="21"/>
          <w:szCs w:val="21"/>
        </w:rPr>
      </w:pPr>
      <w:r>
        <w:rPr>
          <w:rFonts w:hint="eastAsia"/>
          <w:sz w:val="21"/>
          <w:szCs w:val="21"/>
        </w:rPr>
        <w:t>图</w:t>
      </w:r>
      <w:r>
        <w:rPr>
          <w:rFonts w:hint="default"/>
          <w:sz w:val="21"/>
          <w:szCs w:val="21"/>
          <w:lang w:val="en-US"/>
        </w:rPr>
        <w:t>4-3</w:t>
      </w:r>
      <w:r>
        <w:rPr>
          <w:rFonts w:hint="eastAsia"/>
          <w:sz w:val="21"/>
          <w:szCs w:val="21"/>
        </w:rPr>
        <w:t xml:space="preserve">  氨氮测试吸光度曲线</w:t>
      </w:r>
    </w:p>
    <w:p>
      <w:pPr>
        <w:pStyle w:val="6"/>
        <w:spacing w:line="240" w:lineRule="auto"/>
        <w:ind w:firstLine="0" w:firstLineChars="0"/>
        <w:jc w:val="center"/>
        <w:rPr>
          <w:sz w:val="21"/>
          <w:szCs w:val="21"/>
        </w:rPr>
      </w:pPr>
      <w:r>
        <w:rPr>
          <w:rFonts w:hint="eastAsia"/>
          <w:sz w:val="21"/>
          <w:szCs w:val="21"/>
        </w:rPr>
        <w:t>Fig</w:t>
      </w:r>
      <w:r>
        <w:rPr>
          <w:sz w:val="21"/>
          <w:szCs w:val="21"/>
        </w:rPr>
        <w:t>.</w:t>
      </w:r>
      <w:r>
        <w:rPr>
          <w:rFonts w:hint="default"/>
          <w:sz w:val="21"/>
          <w:szCs w:val="21"/>
          <w:lang w:val="en-US"/>
        </w:rPr>
        <w:t>4-3</w:t>
      </w:r>
      <w:r>
        <w:rPr>
          <w:sz w:val="21"/>
          <w:szCs w:val="21"/>
        </w:rPr>
        <w:t xml:space="preserve">  </w:t>
      </w:r>
      <w:r>
        <w:rPr>
          <w:rFonts w:hint="eastAsia"/>
          <w:sz w:val="21"/>
          <w:szCs w:val="21"/>
        </w:rPr>
        <w:t xml:space="preserve">Absorbance </w:t>
      </w:r>
      <w:r>
        <w:rPr>
          <w:sz w:val="21"/>
          <w:szCs w:val="21"/>
        </w:rPr>
        <w:t>c</w:t>
      </w:r>
      <w:r>
        <w:rPr>
          <w:rFonts w:hint="eastAsia"/>
          <w:sz w:val="21"/>
          <w:szCs w:val="21"/>
        </w:rPr>
        <w:t>urve</w:t>
      </w:r>
      <w:r>
        <w:rPr>
          <w:sz w:val="21"/>
          <w:szCs w:val="21"/>
        </w:rPr>
        <w:t xml:space="preserve"> for a</w:t>
      </w:r>
      <w:r>
        <w:rPr>
          <w:rFonts w:hint="eastAsia"/>
          <w:sz w:val="21"/>
          <w:szCs w:val="21"/>
        </w:rPr>
        <w:t xml:space="preserve">mmonium </w:t>
      </w:r>
      <w:r>
        <w:rPr>
          <w:sz w:val="21"/>
          <w:szCs w:val="21"/>
        </w:rPr>
        <w:t>n</w:t>
      </w:r>
      <w:r>
        <w:rPr>
          <w:rFonts w:hint="eastAsia"/>
          <w:sz w:val="21"/>
          <w:szCs w:val="21"/>
        </w:rPr>
        <w:t>itrogen</w:t>
      </w:r>
      <w:r>
        <w:rPr>
          <w:sz w:val="21"/>
          <w:szCs w:val="21"/>
        </w:rPr>
        <w:t xml:space="preserve"> analysis</w:t>
      </w:r>
    </w:p>
    <w:p>
      <w:pPr>
        <w:pStyle w:val="6"/>
        <w:spacing w:line="240" w:lineRule="auto"/>
        <w:ind w:firstLine="0" w:firstLineChars="0"/>
        <w:jc w:val="both"/>
      </w:pPr>
    </w:p>
    <w:p>
      <w:pPr>
        <w:pStyle w:val="6"/>
        <w:keepNext w:val="0"/>
        <w:keepLines w:val="0"/>
        <w:pageBreakBefore w:val="0"/>
        <w:widowControl/>
        <w:kinsoku/>
        <w:wordWrap/>
        <w:overflowPunct/>
        <w:topLinePunct w:val="0"/>
        <w:autoSpaceDE/>
        <w:autoSpaceDN/>
        <w:bidi w:val="0"/>
        <w:adjustRightInd/>
        <w:snapToGrid/>
        <w:spacing w:line="440" w:lineRule="exact"/>
        <w:ind w:firstLine="480" w:firstLineChars="200"/>
        <w:jc w:val="both"/>
        <w:textAlignment w:val="auto"/>
      </w:pPr>
      <w:r>
        <w:rPr>
          <w:rFonts w:hint="eastAsia"/>
        </w:rPr>
        <w:t>根据国家标准检测流程，使用超纯水作为对照，测试并确定了纤维板水热液与木糖共水热液相产物中氮元素的含量，如表</w:t>
      </w:r>
      <w:r>
        <w:rPr>
          <w:rFonts w:hint="default"/>
          <w:lang w:val="en-US"/>
        </w:rPr>
        <w:t>4-</w:t>
      </w:r>
      <w:r>
        <w:rPr>
          <w:rFonts w:hint="eastAsia"/>
        </w:rPr>
        <w:t>5所示。</w:t>
      </w:r>
    </w:p>
    <w:p/>
    <w:p>
      <w:pPr>
        <w:jc w:val="center"/>
        <w:rPr>
          <w:sz w:val="21"/>
          <w:szCs w:val="21"/>
        </w:rPr>
      </w:pPr>
      <w:r>
        <w:rPr>
          <w:rFonts w:hint="eastAsia"/>
          <w:sz w:val="21"/>
          <w:szCs w:val="21"/>
        </w:rPr>
        <w:t>表</w:t>
      </w:r>
      <w:r>
        <w:rPr>
          <w:rFonts w:hint="eastAsia"/>
          <w:sz w:val="21"/>
          <w:szCs w:val="21"/>
          <w:lang w:val="en-US" w:eastAsia="zh-CN"/>
        </w:rPr>
        <w:t>4-</w:t>
      </w:r>
      <w:r>
        <w:rPr>
          <w:rFonts w:hint="eastAsia"/>
          <w:sz w:val="21"/>
          <w:szCs w:val="21"/>
        </w:rPr>
        <w:t>5  纤维板水热液与木糖共水热液相产物中氮的占比</w:t>
      </w:r>
    </w:p>
    <w:p>
      <w:pPr>
        <w:jc w:val="center"/>
        <w:rPr>
          <w:sz w:val="21"/>
          <w:szCs w:val="21"/>
        </w:rPr>
      </w:pPr>
      <w:r>
        <w:rPr>
          <w:sz w:val="21"/>
          <w:szCs w:val="21"/>
        </w:rPr>
        <w:t>Tab.</w:t>
      </w:r>
      <w:r>
        <w:rPr>
          <w:rFonts w:hint="eastAsia"/>
          <w:sz w:val="21"/>
          <w:szCs w:val="21"/>
          <w:lang w:val="en-US" w:eastAsia="zh-CN"/>
        </w:rPr>
        <w:t>4-</w:t>
      </w:r>
      <w:r>
        <w:rPr>
          <w:rFonts w:hint="eastAsia"/>
          <w:sz w:val="21"/>
          <w:szCs w:val="21"/>
        </w:rPr>
        <w:t>5</w:t>
      </w:r>
      <w:r>
        <w:rPr>
          <w:sz w:val="21"/>
          <w:szCs w:val="21"/>
        </w:rPr>
        <w:t xml:space="preserve">  Nitrogen proportion in </w:t>
      </w:r>
      <w:r>
        <w:rPr>
          <w:rFonts w:hint="eastAsia"/>
          <w:sz w:val="21"/>
          <w:szCs w:val="21"/>
        </w:rPr>
        <w:t>h</w:t>
      </w:r>
      <w:r>
        <w:rPr>
          <w:sz w:val="21"/>
          <w:szCs w:val="21"/>
        </w:rPr>
        <w:t xml:space="preserve">ydrothermal </w:t>
      </w:r>
      <w:r>
        <w:rPr>
          <w:rFonts w:hint="eastAsia"/>
          <w:sz w:val="21"/>
          <w:szCs w:val="21"/>
        </w:rPr>
        <w:t>solution</w:t>
      </w:r>
      <w:r>
        <w:rPr>
          <w:sz w:val="21"/>
          <w:szCs w:val="21"/>
        </w:rPr>
        <w:t xml:space="preserve"> from hydrothermal treatment of fiberboard hydrothermal solution and xylose</w:t>
      </w:r>
    </w:p>
    <w:p>
      <w:pPr>
        <w:pStyle w:val="6"/>
        <w:spacing w:line="240" w:lineRule="auto"/>
        <w:ind w:firstLine="0" w:firstLineChars="0"/>
        <w:jc w:val="both"/>
      </w:pPr>
    </w:p>
    <w:tbl>
      <w:tblPr>
        <w:tblStyle w:val="13"/>
        <w:tblW w:w="2712" w:type="pct"/>
        <w:jc w:val="center"/>
        <w:tblLayout w:type="autofit"/>
        <w:tblCellMar>
          <w:top w:w="0" w:type="dxa"/>
          <w:left w:w="108" w:type="dxa"/>
          <w:bottom w:w="0" w:type="dxa"/>
          <w:right w:w="108" w:type="dxa"/>
        </w:tblCellMar>
      </w:tblPr>
      <w:tblGrid>
        <w:gridCol w:w="2274"/>
        <w:gridCol w:w="1376"/>
        <w:gridCol w:w="1479"/>
      </w:tblGrid>
      <w:tr>
        <w:tblPrEx>
          <w:tblCellMar>
            <w:top w:w="0" w:type="dxa"/>
            <w:left w:w="108" w:type="dxa"/>
            <w:bottom w:w="0" w:type="dxa"/>
            <w:right w:w="108" w:type="dxa"/>
          </w:tblCellMar>
        </w:tblPrEx>
        <w:trPr>
          <w:trHeight w:val="397" w:hRule="atLeast"/>
          <w:jc w:val="center"/>
        </w:trPr>
        <w:tc>
          <w:tcPr>
            <w:tcW w:w="2217" w:type="pct"/>
            <w:tcBorders>
              <w:top w:val="single" w:color="auto" w:sz="12" w:space="0"/>
              <w:left w:val="nil"/>
              <w:bottom w:val="single" w:color="auto" w:sz="4" w:space="0"/>
              <w:right w:val="nil"/>
            </w:tcBorders>
            <w:shd w:val="clear" w:color="auto" w:fill="auto"/>
            <w:noWrap/>
            <w:vAlign w:val="center"/>
          </w:tcPr>
          <w:p>
            <w:pPr>
              <w:jc w:val="center"/>
              <w:rPr>
                <w:color w:val="000000"/>
                <w:szCs w:val="24"/>
              </w:rPr>
            </w:pPr>
            <w:r>
              <w:rPr>
                <w:color w:val="000000"/>
                <w:szCs w:val="24"/>
                <w:lang w:bidi="ar"/>
              </w:rPr>
              <w:t>共热反应</w:t>
            </w:r>
            <w:r>
              <w:rPr>
                <w:rFonts w:hint="eastAsia"/>
                <w:color w:val="000000"/>
                <w:szCs w:val="24"/>
                <w:lang w:bidi="ar"/>
              </w:rPr>
              <w:t>温度</w:t>
            </w:r>
          </w:p>
        </w:tc>
        <w:tc>
          <w:tcPr>
            <w:tcW w:w="1341" w:type="pct"/>
            <w:tcBorders>
              <w:top w:val="single" w:color="auto" w:sz="12" w:space="0"/>
              <w:left w:val="nil"/>
              <w:bottom w:val="single" w:color="auto" w:sz="4" w:space="0"/>
              <w:right w:val="nil"/>
            </w:tcBorders>
            <w:shd w:val="clear" w:color="auto" w:fill="auto"/>
            <w:noWrap/>
            <w:vAlign w:val="center"/>
          </w:tcPr>
          <w:p>
            <w:pPr>
              <w:pStyle w:val="6"/>
              <w:spacing w:line="240" w:lineRule="auto"/>
              <w:ind w:firstLine="0" w:firstLineChars="0"/>
              <w:jc w:val="center"/>
              <w:textAlignment w:val="center"/>
              <w:rPr>
                <w:color w:val="000000"/>
              </w:rPr>
            </w:pPr>
            <w:r>
              <w:rPr>
                <w:rFonts w:hint="eastAsia"/>
                <w:color w:val="000000"/>
                <w:lang w:bidi="ar"/>
              </w:rPr>
              <w:t>总氮（%）</w:t>
            </w:r>
          </w:p>
        </w:tc>
        <w:tc>
          <w:tcPr>
            <w:tcW w:w="1442" w:type="pct"/>
            <w:tcBorders>
              <w:top w:val="single" w:color="auto" w:sz="12" w:space="0"/>
              <w:left w:val="nil"/>
              <w:bottom w:val="single" w:color="auto" w:sz="4" w:space="0"/>
              <w:right w:val="nil"/>
            </w:tcBorders>
            <w:shd w:val="clear" w:color="auto" w:fill="auto"/>
            <w:noWrap/>
            <w:vAlign w:val="center"/>
          </w:tcPr>
          <w:p>
            <w:pPr>
              <w:pStyle w:val="6"/>
              <w:spacing w:line="240" w:lineRule="auto"/>
              <w:ind w:firstLine="0" w:firstLineChars="0"/>
              <w:jc w:val="center"/>
              <w:textAlignment w:val="center"/>
              <w:rPr>
                <w:color w:val="000000"/>
              </w:rPr>
            </w:pPr>
            <w:r>
              <w:rPr>
                <w:rFonts w:hint="eastAsia"/>
                <w:color w:val="000000"/>
                <w:lang w:bidi="ar"/>
              </w:rPr>
              <w:t>氨氮（%）</w:t>
            </w:r>
          </w:p>
        </w:tc>
      </w:tr>
      <w:tr>
        <w:tblPrEx>
          <w:tblCellMar>
            <w:top w:w="0" w:type="dxa"/>
            <w:left w:w="108" w:type="dxa"/>
            <w:bottom w:w="0" w:type="dxa"/>
            <w:right w:w="108" w:type="dxa"/>
          </w:tblCellMar>
        </w:tblPrEx>
        <w:trPr>
          <w:trHeight w:val="397" w:hRule="atLeast"/>
          <w:jc w:val="center"/>
        </w:trPr>
        <w:tc>
          <w:tcPr>
            <w:tcW w:w="2217" w:type="pct"/>
            <w:tcBorders>
              <w:top w:val="single" w:color="auto" w:sz="4" w:space="0"/>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180</w:t>
            </w:r>
            <w:r>
              <w:rPr>
                <w:rFonts w:cs="宋体"/>
                <w:color w:val="000000"/>
                <w:lang w:bidi="ar"/>
              </w:rPr>
              <w:t>°C</w:t>
            </w:r>
          </w:p>
        </w:tc>
        <w:tc>
          <w:tcPr>
            <w:tcW w:w="1341" w:type="pct"/>
            <w:tcBorders>
              <w:top w:val="single" w:color="auto" w:sz="4" w:space="0"/>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rPr>
              <w:t>58.1</w:t>
            </w:r>
          </w:p>
        </w:tc>
        <w:tc>
          <w:tcPr>
            <w:tcW w:w="1442" w:type="pct"/>
            <w:tcBorders>
              <w:top w:val="single" w:color="auto" w:sz="4" w:space="0"/>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11.0</w:t>
            </w:r>
          </w:p>
        </w:tc>
      </w:tr>
      <w:tr>
        <w:tblPrEx>
          <w:tblCellMar>
            <w:top w:w="0" w:type="dxa"/>
            <w:left w:w="108" w:type="dxa"/>
            <w:bottom w:w="0" w:type="dxa"/>
            <w:right w:w="108" w:type="dxa"/>
          </w:tblCellMar>
        </w:tblPrEx>
        <w:trPr>
          <w:trHeight w:val="397" w:hRule="atLeast"/>
          <w:jc w:val="center"/>
        </w:trPr>
        <w:tc>
          <w:tcPr>
            <w:tcW w:w="2217"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200</w:t>
            </w:r>
            <w:r>
              <w:rPr>
                <w:rFonts w:cs="宋体"/>
                <w:color w:val="000000"/>
                <w:lang w:bidi="ar"/>
              </w:rPr>
              <w:t>°C</w:t>
            </w:r>
          </w:p>
        </w:tc>
        <w:tc>
          <w:tcPr>
            <w:tcW w:w="1341"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52.4</w:t>
            </w:r>
          </w:p>
        </w:tc>
        <w:tc>
          <w:tcPr>
            <w:tcW w:w="1442"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8.1</w:t>
            </w:r>
          </w:p>
        </w:tc>
      </w:tr>
      <w:tr>
        <w:tblPrEx>
          <w:tblCellMar>
            <w:top w:w="0" w:type="dxa"/>
            <w:left w:w="108" w:type="dxa"/>
            <w:bottom w:w="0" w:type="dxa"/>
            <w:right w:w="108" w:type="dxa"/>
          </w:tblCellMar>
        </w:tblPrEx>
        <w:trPr>
          <w:trHeight w:val="397" w:hRule="atLeast"/>
          <w:jc w:val="center"/>
        </w:trPr>
        <w:tc>
          <w:tcPr>
            <w:tcW w:w="2217"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220</w:t>
            </w:r>
            <w:r>
              <w:rPr>
                <w:rFonts w:cs="宋体"/>
                <w:color w:val="000000"/>
                <w:lang w:bidi="ar"/>
              </w:rPr>
              <w:t>°C</w:t>
            </w:r>
          </w:p>
        </w:tc>
        <w:tc>
          <w:tcPr>
            <w:tcW w:w="1341"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49.7</w:t>
            </w:r>
          </w:p>
        </w:tc>
        <w:tc>
          <w:tcPr>
            <w:tcW w:w="1442"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8.7</w:t>
            </w:r>
          </w:p>
        </w:tc>
      </w:tr>
      <w:tr>
        <w:tblPrEx>
          <w:tblCellMar>
            <w:top w:w="0" w:type="dxa"/>
            <w:left w:w="108" w:type="dxa"/>
            <w:bottom w:w="0" w:type="dxa"/>
            <w:right w:w="108" w:type="dxa"/>
          </w:tblCellMar>
        </w:tblPrEx>
        <w:trPr>
          <w:trHeight w:val="397" w:hRule="atLeast"/>
          <w:jc w:val="center"/>
        </w:trPr>
        <w:tc>
          <w:tcPr>
            <w:tcW w:w="2217"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240</w:t>
            </w:r>
            <w:r>
              <w:rPr>
                <w:rFonts w:cs="宋体"/>
                <w:color w:val="000000"/>
                <w:lang w:bidi="ar"/>
              </w:rPr>
              <w:t>°C</w:t>
            </w:r>
          </w:p>
        </w:tc>
        <w:tc>
          <w:tcPr>
            <w:tcW w:w="1341"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rPr>
              <w:t>43.8</w:t>
            </w:r>
          </w:p>
        </w:tc>
        <w:tc>
          <w:tcPr>
            <w:tcW w:w="1442"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9.1</w:t>
            </w:r>
          </w:p>
        </w:tc>
      </w:tr>
      <w:tr>
        <w:tblPrEx>
          <w:tblCellMar>
            <w:top w:w="0" w:type="dxa"/>
            <w:left w:w="108" w:type="dxa"/>
            <w:bottom w:w="0" w:type="dxa"/>
            <w:right w:w="108" w:type="dxa"/>
          </w:tblCellMar>
        </w:tblPrEx>
        <w:trPr>
          <w:trHeight w:val="397" w:hRule="atLeast"/>
          <w:jc w:val="center"/>
        </w:trPr>
        <w:tc>
          <w:tcPr>
            <w:tcW w:w="2217"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260</w:t>
            </w:r>
            <w:r>
              <w:rPr>
                <w:rFonts w:cs="宋体"/>
                <w:color w:val="000000"/>
                <w:lang w:bidi="ar"/>
              </w:rPr>
              <w:t>°C</w:t>
            </w:r>
          </w:p>
        </w:tc>
        <w:tc>
          <w:tcPr>
            <w:tcW w:w="1341"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51.4</w:t>
            </w:r>
          </w:p>
        </w:tc>
        <w:tc>
          <w:tcPr>
            <w:tcW w:w="1442" w:type="pct"/>
            <w:tcBorders>
              <w:top w:val="nil"/>
              <w:left w:val="nil"/>
              <w:bottom w:val="nil"/>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11.6</w:t>
            </w:r>
          </w:p>
        </w:tc>
      </w:tr>
      <w:tr>
        <w:tblPrEx>
          <w:tblCellMar>
            <w:top w:w="0" w:type="dxa"/>
            <w:left w:w="108" w:type="dxa"/>
            <w:bottom w:w="0" w:type="dxa"/>
            <w:right w:w="108" w:type="dxa"/>
          </w:tblCellMar>
        </w:tblPrEx>
        <w:trPr>
          <w:trHeight w:val="397" w:hRule="atLeast"/>
          <w:jc w:val="center"/>
        </w:trPr>
        <w:tc>
          <w:tcPr>
            <w:tcW w:w="2217" w:type="pct"/>
            <w:tcBorders>
              <w:top w:val="nil"/>
              <w:left w:val="nil"/>
              <w:bottom w:val="single" w:color="auto" w:sz="12" w:space="0"/>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280</w:t>
            </w:r>
            <w:r>
              <w:rPr>
                <w:rFonts w:cs="宋体"/>
                <w:color w:val="000000"/>
                <w:lang w:bidi="ar"/>
              </w:rPr>
              <w:t>°C</w:t>
            </w:r>
          </w:p>
        </w:tc>
        <w:tc>
          <w:tcPr>
            <w:tcW w:w="1341" w:type="pct"/>
            <w:tcBorders>
              <w:top w:val="nil"/>
              <w:left w:val="nil"/>
              <w:bottom w:val="single" w:color="auto" w:sz="12" w:space="0"/>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51.3</w:t>
            </w:r>
          </w:p>
        </w:tc>
        <w:tc>
          <w:tcPr>
            <w:tcW w:w="1442" w:type="pct"/>
            <w:tcBorders>
              <w:top w:val="nil"/>
              <w:left w:val="nil"/>
              <w:bottom w:val="single" w:color="auto" w:sz="12" w:space="0"/>
              <w:right w:val="nil"/>
            </w:tcBorders>
            <w:shd w:val="clear" w:color="auto" w:fill="auto"/>
            <w:noWrap/>
            <w:vAlign w:val="center"/>
          </w:tcPr>
          <w:p>
            <w:pPr>
              <w:pStyle w:val="6"/>
              <w:spacing w:line="240" w:lineRule="auto"/>
              <w:ind w:firstLine="0" w:firstLineChars="0"/>
              <w:jc w:val="center"/>
              <w:textAlignment w:val="center"/>
              <w:rPr>
                <w:color w:val="000000"/>
              </w:rPr>
            </w:pPr>
            <w:r>
              <w:rPr>
                <w:color w:val="000000"/>
                <w:lang w:bidi="ar"/>
              </w:rPr>
              <w:t>12.7</w:t>
            </w:r>
          </w:p>
        </w:tc>
      </w:tr>
    </w:tbl>
    <w:p>
      <w:pPr>
        <w:ind w:firstLine="480" w:firstLineChars="200"/>
        <w:rPr>
          <w:rFonts w:hint="eastAsia"/>
          <w:szCs w:val="24"/>
        </w:rPr>
      </w:pPr>
    </w:p>
    <w:p>
      <w:pPr>
        <w:ind w:firstLine="480" w:firstLineChars="200"/>
        <w:rPr>
          <w:rFonts w:hint="eastAsia"/>
          <w:szCs w:val="24"/>
        </w:rPr>
      </w:pPr>
      <w:r>
        <w:rPr>
          <w:rFonts w:hint="eastAsia"/>
          <w:szCs w:val="24"/>
        </w:rPr>
        <w:t>将</w:t>
      </w:r>
      <w:r>
        <w:rPr>
          <w:rFonts w:hint="eastAsia"/>
          <w:szCs w:val="24"/>
          <w:lang w:eastAsia="zh-CN"/>
        </w:rPr>
        <w:t>表</w:t>
      </w:r>
      <w:r>
        <w:rPr>
          <w:rFonts w:hint="eastAsia"/>
          <w:szCs w:val="24"/>
          <w:lang w:val="en-US" w:eastAsia="zh-CN"/>
        </w:rPr>
        <w:t>4</w:t>
      </w:r>
      <w:r>
        <w:rPr>
          <w:rFonts w:hint="default"/>
          <w:szCs w:val="24"/>
          <w:lang w:val="en-US" w:eastAsia="zh-CN"/>
        </w:rPr>
        <w:t>-</w:t>
      </w:r>
      <w:r>
        <w:rPr>
          <w:rFonts w:hint="eastAsia"/>
          <w:szCs w:val="24"/>
          <w:lang w:val="en-US" w:eastAsia="zh-CN"/>
        </w:rPr>
        <w:t>5中</w:t>
      </w:r>
      <w:r>
        <w:rPr>
          <w:rFonts w:hint="eastAsia"/>
          <w:szCs w:val="24"/>
        </w:rPr>
        <w:t>数据图表化则得到图</w:t>
      </w:r>
      <w:r>
        <w:rPr>
          <w:rFonts w:hint="default"/>
          <w:szCs w:val="24"/>
          <w:lang w:val="en-US"/>
        </w:rPr>
        <w:t>4-4</w:t>
      </w:r>
      <w:r>
        <w:rPr>
          <w:rFonts w:hint="eastAsia"/>
          <w:szCs w:val="24"/>
        </w:rPr>
        <w:t>所示柱状图。</w:t>
      </w:r>
    </w:p>
    <w:p>
      <w:pPr>
        <w:ind w:firstLine="480" w:firstLineChars="200"/>
        <w:rPr>
          <w:rFonts w:hint="eastAsia"/>
          <w:szCs w:val="24"/>
        </w:rPr>
      </w:pPr>
    </w:p>
    <w:p>
      <w:pPr>
        <w:jc w:val="center"/>
      </w:pPr>
      <w:r>
        <w:drawing>
          <wp:inline distT="0" distB="0" distL="114300" distR="114300">
            <wp:extent cx="3775710" cy="2690495"/>
            <wp:effectExtent l="0" t="0" r="2540" b="825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8"/>
                    <a:stretch>
                      <a:fillRect/>
                    </a:stretch>
                  </pic:blipFill>
                  <pic:spPr>
                    <a:xfrm>
                      <a:off x="0" y="0"/>
                      <a:ext cx="3775710" cy="2690495"/>
                    </a:xfrm>
                    <a:prstGeom prst="rect">
                      <a:avLst/>
                    </a:prstGeom>
                    <a:noFill/>
                    <a:ln>
                      <a:noFill/>
                    </a:ln>
                  </pic:spPr>
                </pic:pic>
              </a:graphicData>
            </a:graphic>
          </wp:inline>
        </w:drawing>
      </w:r>
    </w:p>
    <w:p>
      <w:pPr>
        <w:jc w:val="center"/>
        <w:rPr>
          <w:sz w:val="21"/>
          <w:szCs w:val="21"/>
        </w:rPr>
      </w:pPr>
      <w:r>
        <w:rPr>
          <w:rFonts w:hint="eastAsia"/>
          <w:sz w:val="21"/>
          <w:szCs w:val="21"/>
        </w:rPr>
        <w:t>图</w:t>
      </w:r>
      <w:r>
        <w:rPr>
          <w:rFonts w:hint="default"/>
          <w:sz w:val="21"/>
          <w:szCs w:val="21"/>
          <w:lang w:val="en-US"/>
        </w:rPr>
        <w:t>4-4</w:t>
      </w:r>
      <w:r>
        <w:rPr>
          <w:rFonts w:hint="eastAsia"/>
          <w:sz w:val="21"/>
          <w:szCs w:val="21"/>
        </w:rPr>
        <w:t xml:space="preserve">  纤维板水热液与木糖共水热液相产物中氮的占比</w:t>
      </w:r>
    </w:p>
    <w:p>
      <w:pPr>
        <w:jc w:val="center"/>
        <w:rPr>
          <w:sz w:val="21"/>
          <w:szCs w:val="21"/>
        </w:rPr>
      </w:pPr>
      <w:r>
        <w:rPr>
          <w:rFonts w:hint="eastAsia"/>
          <w:sz w:val="21"/>
          <w:szCs w:val="21"/>
        </w:rPr>
        <w:t>Fig.</w:t>
      </w:r>
      <w:r>
        <w:rPr>
          <w:rFonts w:hint="default"/>
          <w:sz w:val="21"/>
          <w:szCs w:val="21"/>
          <w:lang w:val="en-US"/>
        </w:rPr>
        <w:t>4-4</w:t>
      </w:r>
      <w:r>
        <w:rPr>
          <w:rFonts w:hint="eastAsia"/>
          <w:sz w:val="21"/>
          <w:szCs w:val="21"/>
        </w:rPr>
        <w:t xml:space="preserve">  </w:t>
      </w:r>
      <w:r>
        <w:rPr>
          <w:sz w:val="21"/>
          <w:szCs w:val="21"/>
        </w:rPr>
        <w:t xml:space="preserve">Nitrogen proportion in </w:t>
      </w:r>
      <w:r>
        <w:rPr>
          <w:rFonts w:hint="eastAsia"/>
          <w:sz w:val="21"/>
          <w:szCs w:val="21"/>
        </w:rPr>
        <w:t>h</w:t>
      </w:r>
      <w:r>
        <w:rPr>
          <w:sz w:val="21"/>
          <w:szCs w:val="21"/>
        </w:rPr>
        <w:t xml:space="preserve">ydrothermal </w:t>
      </w:r>
      <w:r>
        <w:rPr>
          <w:rFonts w:hint="eastAsia"/>
          <w:sz w:val="21"/>
          <w:szCs w:val="21"/>
        </w:rPr>
        <w:t>solution</w:t>
      </w:r>
      <w:r>
        <w:rPr>
          <w:sz w:val="21"/>
          <w:szCs w:val="21"/>
        </w:rPr>
        <w:t xml:space="preserve"> from hydrothermal treatment of fiberboard hydrothermal solution and xylose</w:t>
      </w:r>
    </w:p>
    <w:p/>
    <w:p>
      <w:pPr>
        <w:pStyle w:val="3"/>
      </w:pPr>
      <w:bookmarkStart w:id="47" w:name="_Toc166450090"/>
      <w:r>
        <w:rPr>
          <w:rFonts w:hint="eastAsia"/>
        </w:rPr>
        <w:t>4.2  木糖与水热液反应</w:t>
      </w:r>
      <w:r>
        <w:t>氮在</w:t>
      </w:r>
      <w:r>
        <w:rPr>
          <w:rFonts w:hint="eastAsia"/>
        </w:rPr>
        <w:t>液</w:t>
      </w:r>
      <w:r>
        <w:t>相产物中的</w:t>
      </w:r>
      <w:r>
        <w:rPr>
          <w:rFonts w:hint="eastAsia"/>
        </w:rPr>
        <w:t>转化</w:t>
      </w:r>
      <w:r>
        <w:t>特性</w:t>
      </w:r>
      <w:bookmarkEnd w:id="47"/>
    </w:p>
    <w:p>
      <w:pPr>
        <w:spacing w:line="440" w:lineRule="exact"/>
        <w:ind w:firstLine="480" w:firstLineChars="200"/>
        <w:jc w:val="both"/>
        <w:rPr>
          <w:rFonts w:hint="eastAsia"/>
          <w:szCs w:val="24"/>
        </w:rPr>
      </w:pPr>
      <w:r>
        <w:rPr>
          <w:rFonts w:hint="eastAsia"/>
          <w:szCs w:val="24"/>
        </w:rPr>
        <w:t xml:space="preserve">在保温温度从180 </w:t>
      </w:r>
      <w:r>
        <w:rPr>
          <w:szCs w:val="24"/>
        </w:rPr>
        <w:t>°</w:t>
      </w:r>
      <w:r>
        <w:rPr>
          <w:rFonts w:hint="eastAsia"/>
          <w:szCs w:val="24"/>
        </w:rPr>
        <w:t xml:space="preserve">C升高到240 </w:t>
      </w:r>
      <w:r>
        <w:rPr>
          <w:szCs w:val="24"/>
        </w:rPr>
        <w:t>°</w:t>
      </w:r>
      <w:r>
        <w:rPr>
          <w:rFonts w:hint="eastAsia"/>
          <w:szCs w:val="24"/>
        </w:rPr>
        <w:t xml:space="preserve">C的过程中，液相中的总氮含量逐渐减少，从初始的58.1%下降至43.8%。然而，在温度达到260 </w:t>
      </w:r>
      <w:r>
        <w:rPr>
          <w:szCs w:val="24"/>
        </w:rPr>
        <w:t>°</w:t>
      </w:r>
      <w:r>
        <w:rPr>
          <w:rFonts w:hint="eastAsia"/>
          <w:szCs w:val="24"/>
        </w:rPr>
        <w:t xml:space="preserve">C时，总氮含量却突然上升至51.4%，而在260 </w:t>
      </w:r>
      <w:r>
        <w:rPr>
          <w:szCs w:val="24"/>
        </w:rPr>
        <w:t>°</w:t>
      </w:r>
      <w:r>
        <w:rPr>
          <w:rFonts w:hint="eastAsia"/>
          <w:szCs w:val="24"/>
        </w:rPr>
        <w:t xml:space="preserve">C和280 </w:t>
      </w:r>
      <w:r>
        <w:rPr>
          <w:szCs w:val="24"/>
        </w:rPr>
        <w:t>°</w:t>
      </w:r>
      <w:r>
        <w:rPr>
          <w:rFonts w:hint="eastAsia"/>
          <w:szCs w:val="24"/>
        </w:rPr>
        <w:t xml:space="preserve">C时保持基本稳定。与此同时，在200 </w:t>
      </w:r>
      <w:r>
        <w:rPr>
          <w:szCs w:val="24"/>
        </w:rPr>
        <w:t>°</w:t>
      </w:r>
      <w:r>
        <w:rPr>
          <w:rFonts w:hint="eastAsia"/>
          <w:szCs w:val="24"/>
        </w:rPr>
        <w:t xml:space="preserve">C到280 </w:t>
      </w:r>
      <w:r>
        <w:rPr>
          <w:szCs w:val="24"/>
        </w:rPr>
        <w:t>°</w:t>
      </w:r>
      <w:r>
        <w:rPr>
          <w:rFonts w:hint="eastAsia"/>
          <w:szCs w:val="24"/>
        </w:rPr>
        <w:t>C的温度范围内，液相中的氨氮含量持续增加。</w:t>
      </w:r>
    </w:p>
    <w:p>
      <w:pPr>
        <w:spacing w:line="440" w:lineRule="exact"/>
        <w:ind w:firstLine="480" w:firstLineChars="200"/>
        <w:jc w:val="both"/>
        <w:rPr>
          <w:rFonts w:hint="eastAsia"/>
          <w:szCs w:val="24"/>
        </w:rPr>
      </w:pPr>
      <w:r>
        <w:rPr>
          <w:rFonts w:hint="eastAsia"/>
          <w:szCs w:val="24"/>
        </w:rPr>
        <w:t>这样的实验结果表明，NH</w:t>
      </w:r>
      <w:r>
        <w:rPr>
          <w:rFonts w:hint="eastAsia"/>
          <w:szCs w:val="24"/>
          <w:vertAlign w:val="subscript"/>
        </w:rPr>
        <w:t>4</w:t>
      </w:r>
      <w:r>
        <w:rPr>
          <w:rFonts w:hint="eastAsia"/>
          <w:szCs w:val="24"/>
          <w:vertAlign w:val="superscript"/>
        </w:rPr>
        <w:t>+</w:t>
      </w:r>
      <w:r>
        <w:rPr>
          <w:rFonts w:hint="eastAsia"/>
          <w:szCs w:val="24"/>
        </w:rPr>
        <w:t>-N在液相中与纤维素水解产物发生二次反应，转化为有机氮，有随着水热温度的升高先减小后增加的趋势。在这个过程中，有机氮的降解主要是由于氮部分迁移到固相而发生的，而</w:t>
      </w:r>
      <w:r>
        <w:rPr>
          <w:rFonts w:hint="eastAsia"/>
          <w:szCs w:val="24"/>
          <w:lang w:eastAsia="zh-CN"/>
        </w:rPr>
        <w:t>在</w:t>
      </w:r>
      <w:r>
        <w:rPr>
          <w:rFonts w:hint="eastAsia"/>
          <w:szCs w:val="24"/>
        </w:rPr>
        <w:t xml:space="preserve">200 </w:t>
      </w:r>
      <w:r>
        <w:rPr>
          <w:szCs w:val="24"/>
        </w:rPr>
        <w:t>°</w:t>
      </w:r>
      <w:r>
        <w:rPr>
          <w:rFonts w:hint="eastAsia"/>
          <w:szCs w:val="24"/>
        </w:rPr>
        <w:t>C</w:t>
      </w:r>
      <w:r>
        <w:rPr>
          <w:rFonts w:hint="eastAsia"/>
          <w:szCs w:val="24"/>
          <w:lang w:eastAsia="zh-CN"/>
        </w:rPr>
        <w:t>之</w:t>
      </w:r>
      <w:r>
        <w:rPr>
          <w:rFonts w:hint="eastAsia"/>
          <w:szCs w:val="24"/>
        </w:rPr>
        <w:t>后</w:t>
      </w:r>
      <w:r>
        <w:rPr>
          <w:rFonts w:hint="eastAsia"/>
          <w:szCs w:val="24"/>
          <w:lang w:eastAsia="zh-CN"/>
        </w:rPr>
        <w:t>，</w:t>
      </w:r>
      <w:r>
        <w:rPr>
          <w:rFonts w:hint="eastAsia"/>
          <w:szCs w:val="24"/>
        </w:rPr>
        <w:t>有机氮主要发生脱氨作用，导致其转化为油相或气相产品。液相氮</w:t>
      </w:r>
      <w:r>
        <w:rPr>
          <w:rFonts w:hint="eastAsia"/>
          <w:szCs w:val="24"/>
          <w:lang w:eastAsia="zh-CN"/>
        </w:rPr>
        <w:t>中的</w:t>
      </w:r>
      <w:r>
        <w:rPr>
          <w:rFonts w:hint="eastAsia"/>
          <w:szCs w:val="24"/>
        </w:rPr>
        <w:t>NH</w:t>
      </w:r>
      <w:r>
        <w:rPr>
          <w:rFonts w:hint="eastAsia"/>
          <w:szCs w:val="24"/>
          <w:vertAlign w:val="subscript"/>
        </w:rPr>
        <w:t>4</w:t>
      </w:r>
      <w:r>
        <w:rPr>
          <w:rFonts w:hint="eastAsia"/>
          <w:szCs w:val="24"/>
          <w:vertAlign w:val="superscript"/>
        </w:rPr>
        <w:t>+</w:t>
      </w:r>
      <w:r>
        <w:rPr>
          <w:rFonts w:hint="eastAsia"/>
          <w:szCs w:val="24"/>
        </w:rPr>
        <w:t>-N占据了相当大的比例，其主要来源是氨氮的脱氨作用</w:t>
      </w:r>
      <w:r>
        <w:rPr>
          <w:szCs w:val="24"/>
          <w:vertAlign w:val="superscript"/>
        </w:rPr>
        <w:fldChar w:fldCharType="begin"/>
      </w:r>
      <w:r>
        <w:rPr>
          <w:szCs w:val="24"/>
          <w:vertAlign w:val="superscript"/>
        </w:rPr>
        <w:instrText xml:space="preserve"> </w:instrText>
      </w:r>
      <w:r>
        <w:rPr>
          <w:rFonts w:hint="eastAsia"/>
          <w:szCs w:val="24"/>
          <w:vertAlign w:val="superscript"/>
        </w:rPr>
        <w:instrText xml:space="preserve">REF _Ref166450133 \r \h</w:instrText>
      </w:r>
      <w:r>
        <w:rPr>
          <w:szCs w:val="24"/>
          <w:vertAlign w:val="superscript"/>
        </w:rPr>
        <w:instrText xml:space="preserve">  \* MERGEFORMAT </w:instrText>
      </w:r>
      <w:r>
        <w:rPr>
          <w:szCs w:val="24"/>
          <w:vertAlign w:val="superscript"/>
        </w:rPr>
        <w:fldChar w:fldCharType="separate"/>
      </w:r>
      <w:r>
        <w:rPr>
          <w:szCs w:val="24"/>
          <w:vertAlign w:val="superscript"/>
        </w:rPr>
        <w:t>[45]</w:t>
      </w:r>
      <w:r>
        <w:rPr>
          <w:szCs w:val="24"/>
          <w:vertAlign w:val="superscript"/>
        </w:rPr>
        <w:fldChar w:fldCharType="end"/>
      </w:r>
      <w:r>
        <w:rPr>
          <w:rFonts w:hint="eastAsia"/>
          <w:szCs w:val="24"/>
        </w:rPr>
        <w:t>。随着水热温度的增加，NH</w:t>
      </w:r>
      <w:r>
        <w:rPr>
          <w:rFonts w:hint="eastAsia"/>
          <w:szCs w:val="24"/>
          <w:vertAlign w:val="subscript"/>
        </w:rPr>
        <w:t>4</w:t>
      </w:r>
      <w:r>
        <w:rPr>
          <w:rFonts w:hint="eastAsia"/>
          <w:szCs w:val="24"/>
          <w:vertAlign w:val="superscript"/>
        </w:rPr>
        <w:t>+</w:t>
      </w:r>
      <w:r>
        <w:rPr>
          <w:rFonts w:hint="eastAsia"/>
          <w:szCs w:val="24"/>
        </w:rPr>
        <w:t>-N的质量分数首先增加，然后稍微降低，延长保持时间会导致NH</w:t>
      </w:r>
      <w:r>
        <w:rPr>
          <w:rFonts w:hint="eastAsia"/>
          <w:szCs w:val="24"/>
          <w:vertAlign w:val="subscript"/>
        </w:rPr>
        <w:t>4</w:t>
      </w:r>
      <w:r>
        <w:rPr>
          <w:rFonts w:hint="eastAsia"/>
          <w:szCs w:val="24"/>
          <w:vertAlign w:val="superscript"/>
        </w:rPr>
        <w:t>+</w:t>
      </w:r>
      <w:r>
        <w:rPr>
          <w:rFonts w:hint="eastAsia"/>
          <w:szCs w:val="24"/>
        </w:rPr>
        <w:t>-N质量分数最大值的点向低温方向偏移。在低温环境下，没有观察到明显的</w:t>
      </w:r>
      <w:r>
        <w:rPr>
          <w:rFonts w:hint="eastAsia"/>
          <w:szCs w:val="24"/>
          <w:lang w:eastAsia="zh-CN"/>
        </w:rPr>
        <w:t>氨基化</w:t>
      </w:r>
      <w:r>
        <w:rPr>
          <w:rFonts w:hint="eastAsia"/>
          <w:szCs w:val="24"/>
        </w:rPr>
        <w:t>迹象，这进一步证实了在低温水热条件下，</w:t>
      </w:r>
      <w:r>
        <w:rPr>
          <w:rFonts w:hint="eastAsia"/>
          <w:szCs w:val="24"/>
          <w:lang w:eastAsia="zh-CN"/>
        </w:rPr>
        <w:t>脲醛</w:t>
      </w:r>
      <w:r>
        <w:rPr>
          <w:rFonts w:hint="eastAsia"/>
          <w:szCs w:val="24"/>
        </w:rPr>
        <w:t>树脂不会从固相转化为液相，其大分子结构基本保持稳定。随着水热温度的增加，NH</w:t>
      </w:r>
      <w:r>
        <w:rPr>
          <w:rFonts w:hint="eastAsia"/>
          <w:szCs w:val="24"/>
          <w:vertAlign w:val="subscript"/>
        </w:rPr>
        <w:t>4</w:t>
      </w:r>
      <w:r>
        <w:rPr>
          <w:rFonts w:hint="eastAsia"/>
          <w:szCs w:val="24"/>
          <w:vertAlign w:val="superscript"/>
        </w:rPr>
        <w:t>+</w:t>
      </w:r>
      <w:r>
        <w:rPr>
          <w:rFonts w:hint="eastAsia"/>
          <w:szCs w:val="24"/>
        </w:rPr>
        <w:t>-N的比例增加，脱氨作用加强。然而，在半纤维素和纤维素水解过程中，NH</w:t>
      </w:r>
      <w:r>
        <w:rPr>
          <w:rFonts w:hint="eastAsia"/>
          <w:szCs w:val="24"/>
          <w:vertAlign w:val="subscript"/>
        </w:rPr>
        <w:t>4</w:t>
      </w:r>
      <w:r>
        <w:rPr>
          <w:rFonts w:hint="eastAsia"/>
          <w:szCs w:val="24"/>
          <w:vertAlign w:val="superscript"/>
        </w:rPr>
        <w:t>+</w:t>
      </w:r>
      <w:r>
        <w:rPr>
          <w:rFonts w:hint="eastAsia"/>
          <w:szCs w:val="24"/>
        </w:rPr>
        <w:t>-N转化为有机氮</w:t>
      </w:r>
      <w:r>
        <w:rPr>
          <w:rFonts w:hint="eastAsia"/>
          <w:szCs w:val="24"/>
          <w:lang w:eastAsia="zh-CN"/>
        </w:rPr>
        <w:t>，为反应提供中间产物</w:t>
      </w:r>
      <w:r>
        <w:rPr>
          <w:rFonts w:hint="eastAsia"/>
          <w:szCs w:val="24"/>
        </w:rPr>
        <w:t>，因此NH</w:t>
      </w:r>
      <w:r>
        <w:rPr>
          <w:rFonts w:hint="eastAsia"/>
          <w:szCs w:val="24"/>
          <w:vertAlign w:val="subscript"/>
        </w:rPr>
        <w:t>4</w:t>
      </w:r>
      <w:r>
        <w:rPr>
          <w:rFonts w:hint="eastAsia"/>
          <w:szCs w:val="24"/>
          <w:vertAlign w:val="superscript"/>
        </w:rPr>
        <w:t>+</w:t>
      </w:r>
      <w:r>
        <w:rPr>
          <w:rFonts w:hint="eastAsia"/>
          <w:szCs w:val="24"/>
        </w:rPr>
        <w:t>-N会转变为有机氮。</w:t>
      </w:r>
    </w:p>
    <w:p>
      <w:pPr>
        <w:spacing w:line="440" w:lineRule="exact"/>
        <w:ind w:firstLine="480" w:firstLineChars="200"/>
        <w:jc w:val="both"/>
        <w:rPr>
          <w:rFonts w:hint="eastAsia"/>
          <w:szCs w:val="24"/>
        </w:rPr>
      </w:pPr>
      <w:r>
        <w:rPr>
          <w:rFonts w:hint="eastAsia"/>
          <w:szCs w:val="24"/>
        </w:rPr>
        <w:t>在整个温度范围内，液相中氨氮的持续增加可能可能存在氮化合物的热分解，导致氨氮的释放。这种变化可能与温度升高带来的</w:t>
      </w:r>
      <w:r>
        <w:t>Maillard</w:t>
      </w:r>
      <w:r>
        <w:rPr>
          <w:rFonts w:hint="eastAsia"/>
        </w:rPr>
        <w:t>反应</w:t>
      </w:r>
      <w:r>
        <w:rPr>
          <w:rFonts w:hint="eastAsia"/>
          <w:szCs w:val="24"/>
        </w:rPr>
        <w:t>有关，但仍需进一步的实验和分析来揭示其中的具体机制。</w:t>
      </w:r>
    </w:p>
    <w:p>
      <w:r>
        <w:rPr>
          <w:rFonts w:hint="eastAsia"/>
        </w:rPr>
        <w:br w:type="page"/>
      </w:r>
    </w:p>
    <w:p>
      <w:pPr>
        <w:pStyle w:val="2"/>
      </w:pPr>
      <w:bookmarkStart w:id="48" w:name="_Toc166450091"/>
      <w:r>
        <w:rPr>
          <w:rFonts w:hint="eastAsia"/>
        </w:rPr>
        <w:t>第五章  结论与展望</w:t>
      </w:r>
      <w:bookmarkEnd w:id="48"/>
    </w:p>
    <w:p>
      <w:pPr>
        <w:spacing w:line="440" w:lineRule="exact"/>
        <w:ind w:firstLine="480" w:firstLineChars="200"/>
        <w:jc w:val="both"/>
        <w:rPr>
          <w:rFonts w:hint="eastAsia"/>
        </w:rPr>
      </w:pPr>
      <w:r>
        <w:rPr>
          <w:rFonts w:hint="eastAsia"/>
        </w:rPr>
        <w:t>本次实验采用了木糖和纤维板水热液的共水热方法，旨在探究木糖对纤维板水热液中氮迁移转化的影响，并为废弃人造板处理提供一定的理论依据。通过以不同的水热温度为参数，对不同的反应条件进行了多组实验。通过对比分析各组试验结果，我们获得了一系列有关木糖与氮迁移转化关系的结论：</w:t>
      </w:r>
    </w:p>
    <w:p>
      <w:pPr>
        <w:spacing w:line="440" w:lineRule="exact"/>
        <w:ind w:firstLine="480" w:firstLineChars="200"/>
        <w:jc w:val="both"/>
        <w:rPr>
          <w:rFonts w:hint="eastAsia"/>
        </w:rPr>
      </w:pPr>
      <w:r>
        <w:rPr>
          <w:rFonts w:hint="eastAsia"/>
        </w:rPr>
        <w:t>（1）</w:t>
      </w:r>
      <w:r>
        <w:rPr>
          <w:rFonts w:hint="default"/>
        </w:rPr>
        <w:t>在水热转化木纤维板的过程中，固相氮最容易被去除。在水热条件下，220</w:t>
      </w:r>
      <w:r>
        <w:rPr>
          <w:rFonts w:hint="eastAsia"/>
          <w:lang w:val="en-US" w:eastAsia="zh-CN"/>
        </w:rPr>
        <w:t xml:space="preserve"> </w:t>
      </w:r>
      <w:r>
        <w:rPr>
          <w:rFonts w:hint="default"/>
        </w:rPr>
        <w:t>°C时，约可以去除52%的固态氮。</w:t>
      </w:r>
      <w:r>
        <w:rPr>
          <w:rFonts w:hint="eastAsia"/>
        </w:rPr>
        <w:t>氮的保留率上升的主要原因是木质纤维素在水热温度升高的条件下发生水解反应。随着温度的增加，木质纤维素中的聚合糖类和半纤维素得以分解，这导致了其中氮的更好保留。</w:t>
      </w:r>
      <w:r>
        <w:rPr>
          <w:rFonts w:hint="default"/>
        </w:rPr>
        <w:t>此外，超过220°C的温度对小分子液相氮结构的解离没有明显影响，有利于</w:t>
      </w:r>
      <w:r>
        <w:rPr>
          <w:rFonts w:hint="eastAsia"/>
          <w:lang w:eastAsia="zh-CN"/>
        </w:rPr>
        <w:t>含</w:t>
      </w:r>
      <w:r>
        <w:rPr>
          <w:rFonts w:hint="default"/>
        </w:rPr>
        <w:t>氮</w:t>
      </w:r>
      <w:r>
        <w:rPr>
          <w:rFonts w:hint="eastAsia"/>
          <w:lang w:eastAsia="zh-CN"/>
        </w:rPr>
        <w:t>胶黏</w:t>
      </w:r>
      <w:r>
        <w:rPr>
          <w:rFonts w:hint="default"/>
        </w:rPr>
        <w:t>剂的</w:t>
      </w:r>
      <w:r>
        <w:rPr>
          <w:rFonts w:hint="eastAsia"/>
          <w:lang w:eastAsia="zh-CN"/>
        </w:rPr>
        <w:t>处理</w:t>
      </w:r>
      <w:r>
        <w:rPr>
          <w:rFonts w:hint="default"/>
        </w:rPr>
        <w:t>。</w:t>
      </w:r>
    </w:p>
    <w:p>
      <w:pPr>
        <w:spacing w:line="440" w:lineRule="exact"/>
        <w:ind w:firstLine="480" w:firstLineChars="200"/>
        <w:jc w:val="both"/>
        <w:rPr>
          <w:rFonts w:hint="eastAsia"/>
        </w:rPr>
      </w:pPr>
      <w:r>
        <w:rPr>
          <w:rFonts w:hint="eastAsia"/>
        </w:rPr>
        <w:t>（2）随着水热温度的升高，木质纤维板中的木质组分-半纤维素和纤维素，会发生水解。一部分液态氮通过</w:t>
      </w:r>
      <w:r>
        <w:t>Maillard反应</w:t>
      </w:r>
      <w:r>
        <w:rPr>
          <w:rFonts w:hint="eastAsia"/>
        </w:rPr>
        <w:t>再次返回产品的固相。</w:t>
      </w:r>
      <w:r>
        <w:rPr>
          <w:rFonts w:hint="default"/>
        </w:rPr>
        <w:t>在水热温度低于240</w:t>
      </w:r>
      <w:r>
        <w:rPr>
          <w:rFonts w:hint="eastAsia"/>
          <w:lang w:val="en-US" w:eastAsia="zh-CN"/>
        </w:rPr>
        <w:t xml:space="preserve"> </w:t>
      </w:r>
      <w:r>
        <w:rPr>
          <w:rFonts w:hint="default"/>
        </w:rPr>
        <w:t>°C时，液</w:t>
      </w:r>
      <w:r>
        <w:rPr>
          <w:rFonts w:hint="eastAsia"/>
          <w:lang w:eastAsia="zh-CN"/>
        </w:rPr>
        <w:t>相</w:t>
      </w:r>
      <w:r>
        <w:rPr>
          <w:rFonts w:hint="default"/>
        </w:rPr>
        <w:t>氮对固相的影响随温度升高而增强。</w:t>
      </w:r>
      <w:r>
        <w:rPr>
          <w:rFonts w:hint="eastAsia"/>
        </w:rPr>
        <w:t>在低温水热的环境下，固相产物的合成反应通常会得到一定程度的增强。这是因为低温水热环境下，有利于引发固相产物的聚合反应和芳构化过程。</w:t>
      </w:r>
    </w:p>
    <w:p>
      <w:pPr>
        <w:spacing w:line="440" w:lineRule="exact"/>
        <w:ind w:firstLine="480" w:firstLineChars="200"/>
        <w:jc w:val="both"/>
        <w:rPr>
          <w:rFonts w:hint="eastAsia"/>
        </w:rPr>
      </w:pPr>
      <w:r>
        <w:rPr>
          <w:rFonts w:hint="eastAsia"/>
        </w:rPr>
        <w:t>（3）</w:t>
      </w:r>
      <w:r>
        <w:rPr>
          <w:rFonts w:hint="default"/>
        </w:rPr>
        <w:t>随着水热温度的升高，固相中的氮结构逐渐从</w:t>
      </w:r>
      <w:r>
        <w:rPr>
          <w:rFonts w:hint="eastAsia"/>
          <w:lang w:eastAsia="zh-CN"/>
        </w:rPr>
        <w:t>氨</w:t>
      </w:r>
      <w:r>
        <w:rPr>
          <w:rFonts w:hint="default"/>
        </w:rPr>
        <w:t>氮转变为杂环氮，并且该氮结构的热稳定性也增加。</w:t>
      </w:r>
    </w:p>
    <w:p>
      <w:pPr>
        <w:spacing w:line="440" w:lineRule="exact"/>
        <w:ind w:firstLine="480" w:firstLineChars="200"/>
        <w:jc w:val="both"/>
        <w:rPr>
          <w:rFonts w:hint="eastAsia"/>
        </w:rPr>
      </w:pPr>
      <w:r>
        <w:rPr>
          <w:rFonts w:hint="eastAsia"/>
        </w:rPr>
        <w:t>（4）半纤维素和纤维素的水解提供了反应的中间产物，促进了NH</w:t>
      </w:r>
      <w:r>
        <w:rPr>
          <w:rFonts w:hint="eastAsia"/>
          <w:vertAlign w:val="subscript"/>
        </w:rPr>
        <w:t>4</w:t>
      </w:r>
      <w:r>
        <w:rPr>
          <w:rFonts w:hint="eastAsia"/>
          <w:vertAlign w:val="superscript"/>
        </w:rPr>
        <w:t>+</w:t>
      </w:r>
      <w:r>
        <w:rPr>
          <w:rFonts w:hint="eastAsia"/>
        </w:rPr>
        <w:t>-N向有机氮的转变。</w:t>
      </w:r>
      <w:r>
        <w:rPr>
          <w:rFonts w:hint="default"/>
        </w:rPr>
        <w:t>水热过程中的液</w:t>
      </w:r>
      <w:r>
        <w:rPr>
          <w:rFonts w:hint="eastAsia"/>
          <w:lang w:eastAsia="zh-CN"/>
        </w:rPr>
        <w:t>相</w:t>
      </w:r>
      <w:r>
        <w:rPr>
          <w:rFonts w:hint="default"/>
        </w:rPr>
        <w:t>氮主要包含有机氮和</w:t>
      </w:r>
      <w:r>
        <w:rPr>
          <w:rFonts w:hint="eastAsia"/>
          <w:lang w:eastAsia="zh-CN"/>
        </w:rPr>
        <w:t>氨</w:t>
      </w:r>
      <w:r>
        <w:rPr>
          <w:rFonts w:hint="default"/>
        </w:rPr>
        <w:t>氮</w:t>
      </w:r>
      <w:r>
        <w:rPr>
          <w:rFonts w:hint="eastAsia"/>
          <w:lang w:eastAsia="zh-CN"/>
        </w:rPr>
        <w:t>，</w:t>
      </w:r>
      <w:r>
        <w:rPr>
          <w:rFonts w:hint="default"/>
        </w:rPr>
        <w:t>液</w:t>
      </w:r>
      <w:r>
        <w:rPr>
          <w:rFonts w:hint="eastAsia"/>
          <w:lang w:eastAsia="zh-CN"/>
        </w:rPr>
        <w:t>相</w:t>
      </w:r>
      <w:r>
        <w:rPr>
          <w:rFonts w:hint="default"/>
        </w:rPr>
        <w:t>氮的转化主要发生在脱氨反应和</w:t>
      </w:r>
      <w:r>
        <w:t>Maillard反应</w:t>
      </w:r>
      <w:r>
        <w:rPr>
          <w:rFonts w:hint="default"/>
        </w:rPr>
        <w:t>的作用下。</w:t>
      </w:r>
    </w:p>
    <w:p>
      <w:pPr>
        <w:spacing w:line="440" w:lineRule="exact"/>
        <w:ind w:firstLine="480" w:firstLineChars="200"/>
        <w:jc w:val="both"/>
        <w:rPr>
          <w:rFonts w:hint="eastAsia"/>
        </w:rPr>
      </w:pPr>
      <w:r>
        <w:rPr>
          <w:rFonts w:hint="eastAsia"/>
        </w:rPr>
        <w:t>基于以上结论，我们可以得出以下重要推论：在人造板的生产和处理过程中，引入木糖可以一定程度上提升氮迁移转化的效果。因此，合理控制水热温度和木糖使用量，可以为废弃人造板处理工艺的优化和改进提供可靠的理论支持。</w:t>
      </w:r>
    </w:p>
    <w:p>
      <w:pPr>
        <w:spacing w:line="440" w:lineRule="exact"/>
        <w:ind w:firstLine="480" w:firstLineChars="200"/>
        <w:rPr>
          <w:rFonts w:hint="eastAsia"/>
        </w:rPr>
        <w:sectPr>
          <w:pgSz w:w="11906" w:h="16838"/>
          <w:pgMar w:top="1304" w:right="1304" w:bottom="1134" w:left="1361" w:header="851" w:footer="851" w:gutter="0"/>
          <w:pgNumType w:start="1"/>
          <w:cols w:space="720" w:num="1"/>
          <w:docGrid w:linePitch="360" w:charSpace="0"/>
        </w:sectPr>
      </w:pPr>
      <w:r>
        <w:rPr>
          <w:rFonts w:hint="eastAsia"/>
        </w:rPr>
        <w:t>对于未来工艺的优化处理，需通过调节水热处理条件，进一步研究氮迁移机制，探究木糖对氮转化的影响，揭示转化途径和影响因素，为工艺优化提供理论依据。考虑环境友好性，评估废弃板处理过程的能耗、废物排放和资源利用，促进绿色环保产业发展。拓展水热处理技术应用于其他废弃物资源化无害化利用，不断完善水热处理技术在废弃板处理中的应用，实现资源化利用和环保双重目标。</w:t>
      </w:r>
    </w:p>
    <w:p>
      <w:pPr>
        <w:pStyle w:val="2"/>
      </w:pPr>
      <w:bookmarkStart w:id="49" w:name="_Toc166234362"/>
      <w:bookmarkStart w:id="50" w:name="_Toc166450092"/>
      <w:r>
        <w:rPr>
          <w:rFonts w:hint="eastAsia"/>
        </w:rPr>
        <w:t>参考文献</w:t>
      </w:r>
      <w:bookmarkEnd w:id="49"/>
      <w:bookmarkEnd w:id="50"/>
    </w:p>
    <w:p>
      <w:pPr>
        <w:numPr>
          <w:ilvl w:val="0"/>
          <w:numId w:val="11"/>
        </w:numPr>
        <w:ind w:left="510" w:hanging="510"/>
        <w:jc w:val="both"/>
        <w:rPr>
          <w:color w:val="000000" w:themeColor="text1"/>
          <w:szCs w:val="24"/>
          <w14:textFill>
            <w14:solidFill>
              <w14:schemeClr w14:val="tx1"/>
            </w14:solidFill>
          </w14:textFill>
        </w:rPr>
      </w:pPr>
      <w:bookmarkStart w:id="51" w:name="_Ref1044203853"/>
      <w:bookmarkStart w:id="52" w:name="_Ref1730580061"/>
      <w:r>
        <w:rPr>
          <w:color w:val="000000" w:themeColor="text1"/>
          <w:szCs w:val="24"/>
          <w14:textFill>
            <w14:solidFill>
              <w14:schemeClr w14:val="tx1"/>
            </w14:solidFill>
          </w14:textFill>
        </w:rPr>
        <w:t>中华人民共和国国家发展计划委员会基础产业发展司.</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中国新能源与可再生能源1999白皮书[M].</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北京:</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中国计划出版社,</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2000.</w:t>
      </w:r>
      <w:bookmarkEnd w:id="51"/>
    </w:p>
    <w:p>
      <w:pPr>
        <w:numPr>
          <w:ilvl w:val="0"/>
          <w:numId w:val="11"/>
        </w:numPr>
        <w:ind w:left="510" w:hanging="510"/>
        <w:jc w:val="both"/>
        <w:rPr>
          <w:color w:val="000000" w:themeColor="text1"/>
          <w:szCs w:val="24"/>
          <w14:textFill>
            <w14:solidFill>
              <w14:schemeClr w14:val="tx1"/>
            </w14:solidFill>
          </w14:textFill>
        </w:rPr>
      </w:pPr>
      <w:bookmarkStart w:id="53" w:name="_Ref336088115"/>
      <w:bookmarkStart w:id="54" w:name="_Ref861900753"/>
      <w:r>
        <w:rPr>
          <w:color w:val="000000" w:themeColor="text1"/>
          <w:szCs w:val="24"/>
          <w14:textFill>
            <w14:solidFill>
              <w14:schemeClr w14:val="tx1"/>
            </w14:solidFill>
          </w14:textFill>
        </w:rPr>
        <w:t>张无敌,</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宋洪川,</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韦小岿,</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等.</w:t>
      </w:r>
      <w:r>
        <w:rPr>
          <w:rFonts w:hint="eastAsia"/>
          <w:color w:val="000000" w:themeColor="text1"/>
          <w:szCs w:val="24"/>
          <w:lang w:val="en-US" w:eastAsia="zh-CN"/>
          <w14:textFill>
            <w14:solidFill>
              <w14:schemeClr w14:val="tx1"/>
            </w14:solidFill>
          </w14:textFill>
        </w:rPr>
        <w:t xml:space="preserve"> </w:t>
      </w:r>
      <w:r>
        <w:fldChar w:fldCharType="begin"/>
      </w:r>
      <w:r>
        <w:instrText xml:space="preserve"> HYPERLINK "https://kns.cnki.net/kcms2/article/abstract?v=Vof-4b7nxdD-XwP9sxprZF4gHGNFXYlzwyBW7xT562IubYUb2bm9obJ9PVQcvwWMJ-iqAPhfgytSybhVDMa3DJbXUulFrLJEQOIRd_HMKccjOr0FtrglwMnX5yXNLh2OMlSmAhC-F40=&amp;uniplatform=NZKPT&amp;language=CHS" </w:instrText>
      </w:r>
      <w:r>
        <w:fldChar w:fldCharType="separate"/>
      </w:r>
      <w:r>
        <w:rPr>
          <w:rStyle w:val="52"/>
          <w:color w:val="000000" w:themeColor="text1"/>
          <w:szCs w:val="24"/>
          <w:u w:val="none"/>
          <w14:textFill>
            <w14:solidFill>
              <w14:schemeClr w14:val="tx1"/>
            </w14:solidFill>
          </w14:textFill>
        </w:rPr>
        <w:t>21世纪发展生物质能前景广阔</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中国能源,</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2001,</w:t>
      </w:r>
      <w:r>
        <w:rPr>
          <w:rFonts w:hint="eastAsia"/>
          <w:color w:val="000000" w:themeColor="text1"/>
          <w:szCs w:val="24"/>
          <w14:textFill>
            <w14:solidFill>
              <w14:schemeClr w14:val="tx1"/>
            </w14:solidFill>
          </w14:textFill>
        </w:rPr>
        <w:t xml:space="preserve"> </w:t>
      </w:r>
      <w:r>
        <w:rPr>
          <w:color w:val="000000" w:themeColor="text1"/>
          <w:szCs w:val="24"/>
          <w14:textFill>
            <w14:solidFill>
              <w14:schemeClr w14:val="tx1"/>
            </w14:solidFill>
          </w14:textFill>
        </w:rPr>
        <w:t>(5):</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3538.</w:t>
      </w:r>
      <w:bookmarkEnd w:id="53"/>
    </w:p>
    <w:p>
      <w:pPr>
        <w:numPr>
          <w:ilvl w:val="0"/>
          <w:numId w:val="11"/>
        </w:numPr>
        <w:ind w:left="510" w:hanging="510"/>
        <w:jc w:val="both"/>
        <w:rPr>
          <w:color w:val="000000" w:themeColor="text1"/>
          <w:szCs w:val="24"/>
          <w14:textFill>
            <w14:solidFill>
              <w14:schemeClr w14:val="tx1"/>
            </w14:solidFill>
          </w14:textFill>
        </w:rPr>
      </w:pPr>
      <w:bookmarkStart w:id="55" w:name="_Ref1488793354"/>
      <w:r>
        <w:rPr>
          <w:color w:val="000000" w:themeColor="text1"/>
          <w:szCs w:val="24"/>
          <w14:textFill>
            <w14:solidFill>
              <w14:schemeClr w14:val="tx1"/>
            </w14:solidFill>
          </w14:textFill>
        </w:rPr>
        <w:t>蒋剑春.</w:t>
      </w:r>
      <w:r>
        <w:rPr>
          <w:rFonts w:hint="eastAsia"/>
          <w:color w:val="000000" w:themeColor="text1"/>
          <w:szCs w:val="24"/>
          <w:lang w:val="en-US" w:eastAsia="zh-CN"/>
          <w14:textFill>
            <w14:solidFill>
              <w14:schemeClr w14:val="tx1"/>
            </w14:solidFill>
          </w14:textFill>
        </w:rPr>
        <w:t xml:space="preserve"> </w:t>
      </w:r>
      <w:r>
        <w:fldChar w:fldCharType="begin"/>
      </w:r>
      <w:r>
        <w:instrText xml:space="preserve"> HYPERLINK "https://kns.cnki.net/kcms2/article/abstract?v=Vof-4b7nxdB9AwpXatw-GJWsd_okpHgYguMXdSSWc5dSDvQeqv44Jdb5sJEQDPev-lHQrC3vmu9wfMz285YOF-a4dCPOZaWUUleDpsuO2F0IuLl9xl4jIYPTdsCsuNomwzUWzfcv4w8=&amp;uniplatform=NZKPT&amp;language=CHS" </w:instrText>
      </w:r>
      <w:r>
        <w:fldChar w:fldCharType="separate"/>
      </w:r>
      <w:r>
        <w:rPr>
          <w:rStyle w:val="37"/>
          <w:color w:val="000000" w:themeColor="text1"/>
          <w:szCs w:val="24"/>
          <w:u w:val="none"/>
          <w14:textFill>
            <w14:solidFill>
              <w14:schemeClr w14:val="tx1"/>
            </w14:solidFill>
          </w14:textFill>
        </w:rPr>
        <w:t>生物质能源应用研究现状与发展前景</w:t>
      </w:r>
      <w:r>
        <w:rPr>
          <w:rStyle w:val="37"/>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林产化学与工业,</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2002(02):</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75-80.</w:t>
      </w:r>
      <w:bookmarkEnd w:id="55"/>
    </w:p>
    <w:p>
      <w:pPr>
        <w:numPr>
          <w:ilvl w:val="0"/>
          <w:numId w:val="11"/>
        </w:numPr>
        <w:ind w:left="510" w:hanging="510"/>
        <w:jc w:val="both"/>
        <w:rPr>
          <w:color w:val="000000" w:themeColor="text1"/>
          <w:szCs w:val="24"/>
          <w14:textFill>
            <w14:solidFill>
              <w14:schemeClr w14:val="tx1"/>
            </w14:solidFill>
          </w14:textFill>
        </w:rPr>
      </w:pPr>
      <w:bookmarkStart w:id="56" w:name="_Ref1877498625"/>
      <w:bookmarkEnd w:id="56"/>
      <w:bookmarkStart w:id="57" w:name="_Ref1456525474"/>
      <w:r>
        <w:rPr>
          <w:color w:val="000000" w:themeColor="text1"/>
          <w:szCs w:val="24"/>
          <w14:textFill>
            <w14:solidFill>
              <w14:schemeClr w14:val="tx1"/>
            </w14:solidFill>
          </w14:textFill>
        </w:rPr>
        <w:t>陆强,赵微,夏源谷等.</w:t>
      </w:r>
      <w:r>
        <w:fldChar w:fldCharType="begin"/>
      </w:r>
      <w:r>
        <w:instrText xml:space="preserve"> HYPERLINK "https://kns.cnki.net/kcms2/article/abstract?v=Vof-4b7nxdBApxMbdpepls0m2kszJ_wFhDd4j5D8L3Ifc8VETjcPWIzJftjHoYNUQrHFf1UgLgvebmQhjntFmGCVzQ5yrvDzejWCwCsp1OLRTO45LKpd1Dy-rqKshlGtWC0k6PT15uN3NpWlEX67Gg==&amp;uniplatform=NZKPT&amp;language=CHS" </w:instrText>
      </w:r>
      <w:r>
        <w:fldChar w:fldCharType="separate"/>
      </w:r>
      <w:r>
        <w:rPr>
          <w:rStyle w:val="37"/>
          <w:color w:val="000000" w:themeColor="text1"/>
          <w:szCs w:val="24"/>
          <w:u w:val="none"/>
          <w14:textFill>
            <w14:solidFill>
              <w14:schemeClr w14:val="tx1"/>
            </w14:solidFill>
          </w14:textFill>
        </w:rPr>
        <w:t>生物质热解过程中氮元素迁移转化机制研究进展</w:t>
      </w:r>
      <w:r>
        <w:rPr>
          <w:rStyle w:val="37"/>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燃料化学学报(中英文),</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2023,</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51(08).</w:t>
      </w:r>
    </w:p>
    <w:p>
      <w:pPr>
        <w:numPr>
          <w:ilvl w:val="0"/>
          <w:numId w:val="11"/>
        </w:numPr>
        <w:ind w:left="510" w:hanging="510"/>
        <w:jc w:val="both"/>
        <w:rPr>
          <w:color w:val="000000" w:themeColor="text1"/>
          <w:szCs w:val="24"/>
          <w14:textFill>
            <w14:solidFill>
              <w14:schemeClr w14:val="tx1"/>
            </w14:solidFill>
          </w14:textFill>
        </w:rPr>
      </w:pPr>
      <w:bookmarkStart w:id="58" w:name="_Ref1351284378"/>
      <w:bookmarkStart w:id="59" w:name="_Ref1994026430"/>
      <w:r>
        <w:rPr>
          <w:color w:val="000000" w:themeColor="text1"/>
          <w:szCs w:val="24"/>
          <w14:textFill>
            <w14:solidFill>
              <w14:schemeClr w14:val="tx1"/>
            </w14:solidFill>
          </w14:textFill>
        </w:rPr>
        <w:t xml:space="preserve">Thygesen A, Tsapekos P, Alvarado-Morales M, Angelidaki I. </w:t>
      </w:r>
      <w:r>
        <w:fldChar w:fldCharType="begin"/>
      </w:r>
      <w:r>
        <w:instrText xml:space="preserve"> HYPERLINK "https://www.sciencedirect.com/science/article/pii/S096085242101275X" </w:instrText>
      </w:r>
      <w:r>
        <w:fldChar w:fldCharType="separate"/>
      </w:r>
      <w:r>
        <w:rPr>
          <w:rStyle w:val="52"/>
          <w:color w:val="000000" w:themeColor="text1"/>
          <w:szCs w:val="24"/>
          <w:u w:val="none"/>
          <w14:textFill>
            <w14:solidFill>
              <w14:schemeClr w14:val="tx1"/>
            </w14:solidFill>
          </w14:textFill>
        </w:rPr>
        <w:t>Valorization of municipal organic waste into purified lactic acid</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 Bioresour Technol, 2021, 342: 125933.</w:t>
      </w:r>
      <w:bookmarkEnd w:id="58"/>
    </w:p>
    <w:p>
      <w:pPr>
        <w:numPr>
          <w:ilvl w:val="0"/>
          <w:numId w:val="11"/>
        </w:numPr>
        <w:ind w:left="510" w:hanging="510"/>
        <w:jc w:val="both"/>
        <w:rPr>
          <w:color w:val="000000" w:themeColor="text1"/>
          <w:szCs w:val="24"/>
          <w14:textFill>
            <w14:solidFill>
              <w14:schemeClr w14:val="tx1"/>
            </w14:solidFill>
          </w14:textFill>
        </w:rPr>
      </w:pPr>
      <w:bookmarkStart w:id="60" w:name="_Ref1058004243"/>
      <w:r>
        <w:rPr>
          <w:color w:val="000000" w:themeColor="text1"/>
          <w:szCs w:val="24"/>
          <w14:textFill>
            <w14:solidFill>
              <w14:schemeClr w14:val="tx1"/>
            </w14:solidFill>
          </w14:textFill>
        </w:rPr>
        <w:t xml:space="preserve">周建强, 高攀, 董长青, 杨勇平. </w:t>
      </w:r>
      <w:r>
        <w:fldChar w:fldCharType="begin"/>
      </w:r>
      <w:r>
        <w:instrText xml:space="preserve"> HYPERLINK "https://kns.cnki.net/kcms2/article/abstract?v=Vof-4b7nxdCcNCBbOSz7p-XOks3Rmt4LnttjjEMYckCqQd81dlh6qJCYSf9F3bCv9D0TZQxUI0a8k0N9xZTfS2pjUIVPP-n0GmBdsg92teWzkUvUSNw4GvZnUrMBzch1a6emwl0HZCNFMICOIcqu0A==&amp;uniplatform=NZKPT&amp;language=CHS" </w:instrText>
      </w:r>
      <w:r>
        <w:fldChar w:fldCharType="separate"/>
      </w:r>
      <w:r>
        <w:rPr>
          <w:rStyle w:val="52"/>
          <w:color w:val="000000" w:themeColor="text1"/>
          <w:szCs w:val="24"/>
          <w:u w:val="none"/>
          <w14:textFill>
            <w14:solidFill>
              <w14:schemeClr w14:val="tx1"/>
            </w14:solidFill>
          </w14:textFill>
        </w:rPr>
        <w:t>固体生物质燃烧中氮氧化物产生机理综述</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 热力发电, 2018, 47(12):</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1-9.</w:t>
      </w:r>
      <w:bookmarkEnd w:id="60"/>
    </w:p>
    <w:p>
      <w:pPr>
        <w:numPr>
          <w:ilvl w:val="0"/>
          <w:numId w:val="11"/>
        </w:numPr>
        <w:ind w:left="510" w:hanging="510"/>
        <w:jc w:val="both"/>
        <w:rPr>
          <w:color w:val="000000" w:themeColor="text1"/>
          <w:szCs w:val="24"/>
          <w14:textFill>
            <w14:solidFill>
              <w14:schemeClr w14:val="tx1"/>
            </w14:solidFill>
          </w14:textFill>
        </w:rPr>
      </w:pPr>
      <w:bookmarkStart w:id="61" w:name="_Ref172493087"/>
      <w:r>
        <w:rPr>
          <w:color w:val="000000" w:themeColor="text1"/>
          <w:szCs w:val="24"/>
          <w14:textFill>
            <w14:solidFill>
              <w14:schemeClr w14:val="tx1"/>
            </w14:solidFill>
          </w14:textFill>
        </w:rPr>
        <w:t xml:space="preserve">Stubenberger G, Scharler R, Zahirovic S, Obernberger I. </w:t>
      </w:r>
      <w:r>
        <w:fldChar w:fldCharType="begin"/>
      </w:r>
      <w:r>
        <w:instrText xml:space="preserve"> HYPERLINK "https://www.sciencedirect.com/science/article/pii/S001623610700261X" </w:instrText>
      </w:r>
      <w:r>
        <w:fldChar w:fldCharType="separate"/>
      </w:r>
      <w:r>
        <w:rPr>
          <w:rStyle w:val="52"/>
          <w:color w:val="000000" w:themeColor="text1"/>
          <w:szCs w:val="24"/>
          <w:u w:val="none"/>
          <w14:textFill>
            <w14:solidFill>
              <w14:schemeClr w14:val="tx1"/>
            </w14:solidFill>
          </w14:textFill>
        </w:rPr>
        <w:t>Experimental investigation of nitrogen species release from different solid biomass fuels as a basis for release models</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 Fuel, 2008, 87(6): 793-806.</w:t>
      </w:r>
      <w:bookmarkEnd w:id="61"/>
    </w:p>
    <w:p>
      <w:pPr>
        <w:numPr>
          <w:ilvl w:val="0"/>
          <w:numId w:val="11"/>
        </w:numPr>
        <w:ind w:left="510" w:hanging="510"/>
        <w:jc w:val="both"/>
        <w:rPr>
          <w:color w:val="000000" w:themeColor="text1"/>
          <w:szCs w:val="24"/>
          <w14:textFill>
            <w14:solidFill>
              <w14:schemeClr w14:val="tx1"/>
            </w14:solidFill>
          </w14:textFill>
        </w:rPr>
      </w:pPr>
      <w:bookmarkStart w:id="62" w:name="_Ref340428665"/>
      <w:r>
        <w:rPr>
          <w:color w:val="000000" w:themeColor="text1"/>
          <w:szCs w:val="24"/>
          <w14:textFill>
            <w14:solidFill>
              <w14:schemeClr w14:val="tx1"/>
            </w14:solidFill>
          </w14:textFill>
        </w:rPr>
        <w:t xml:space="preserve">Tan X, Zhang Y, Yang L, Chu H, Guo J. </w:t>
      </w:r>
      <w:r>
        <w:fldChar w:fldCharType="begin"/>
      </w:r>
      <w:r>
        <w:instrText xml:space="preserve"> HYPERLINK "https://www.sciencedirect.com/science/article/pii/S0960852415015060" </w:instrText>
      </w:r>
      <w:r>
        <w:fldChar w:fldCharType="separate"/>
      </w:r>
      <w:r>
        <w:rPr>
          <w:rStyle w:val="52"/>
          <w:color w:val="000000" w:themeColor="text1"/>
          <w:szCs w:val="24"/>
          <w:u w:val="none"/>
          <w14:textFill>
            <w14:solidFill>
              <w14:schemeClr w14:val="tx1"/>
            </w14:solidFill>
          </w14:textFill>
        </w:rPr>
        <w:t>Outdoor cultures of Chlorella pyrenoidosa in the effluent of anaerobically digested activated sludge: the effects of pH and free ammonia</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 Bioresour Technol, 2016, 200: 606-615.</w:t>
      </w:r>
      <w:bookmarkEnd w:id="62"/>
    </w:p>
    <w:p>
      <w:pPr>
        <w:numPr>
          <w:ilvl w:val="0"/>
          <w:numId w:val="11"/>
        </w:numPr>
        <w:ind w:left="510" w:hanging="510"/>
        <w:jc w:val="both"/>
        <w:rPr>
          <w:color w:val="000000" w:themeColor="text1"/>
          <w:szCs w:val="24"/>
          <w14:textFill>
            <w14:solidFill>
              <w14:schemeClr w14:val="tx1"/>
            </w14:solidFill>
          </w14:textFill>
        </w:rPr>
      </w:pPr>
      <w:r>
        <w:rPr>
          <w:color w:val="000000" w:themeColor="text1"/>
          <w:szCs w:val="24"/>
          <w14:textFill>
            <w14:solidFill>
              <w14:schemeClr w14:val="tx1"/>
            </w14:solidFill>
          </w14:textFill>
        </w:rPr>
        <w:t xml:space="preserve">Font-Palma C. </w:t>
      </w:r>
      <w:r>
        <w:fldChar w:fldCharType="begin"/>
      </w:r>
      <w:r>
        <w:instrText xml:space="preserve"> HYPERLINK "https://www.mdpi.com/2311-5629/5/2/27" </w:instrText>
      </w:r>
      <w:r>
        <w:fldChar w:fldCharType="separate"/>
      </w:r>
      <w:r>
        <w:rPr>
          <w:rStyle w:val="52"/>
          <w:color w:val="000000" w:themeColor="text1"/>
          <w:szCs w:val="24"/>
          <w:u w:val="none"/>
          <w14:textFill>
            <w14:solidFill>
              <w14:schemeClr w14:val="tx1"/>
            </w14:solidFill>
          </w14:textFill>
        </w:rPr>
        <w:t>Methods for the treatment of cattle manure: a review</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 C, 2019, 5(2): 27.</w:t>
      </w:r>
    </w:p>
    <w:p>
      <w:pPr>
        <w:numPr>
          <w:ilvl w:val="0"/>
          <w:numId w:val="11"/>
        </w:numPr>
        <w:ind w:left="510" w:hanging="510"/>
        <w:jc w:val="both"/>
        <w:rPr>
          <w:color w:val="000000" w:themeColor="text1"/>
          <w:szCs w:val="24"/>
          <w14:textFill>
            <w14:solidFill>
              <w14:schemeClr w14:val="tx1"/>
            </w14:solidFill>
          </w14:textFill>
        </w:rPr>
      </w:pPr>
      <w:r>
        <w:rPr>
          <w:color w:val="000000" w:themeColor="text1"/>
          <w:szCs w:val="24"/>
          <w14:textFill>
            <w14:solidFill>
              <w14:schemeClr w14:val="tx1"/>
            </w14:solidFill>
          </w14:textFill>
        </w:rPr>
        <w:t xml:space="preserve">Park C, Lee N, Kim J, Lee J. </w:t>
      </w:r>
      <w:r>
        <w:fldChar w:fldCharType="begin"/>
      </w:r>
      <w:r>
        <w:instrText xml:space="preserve"> HYPERLINK "https://www.sciencedirect.com/science/article/pii/S0269749120367348" </w:instrText>
      </w:r>
      <w:r>
        <w:fldChar w:fldCharType="separate"/>
      </w:r>
      <w:r>
        <w:rPr>
          <w:rStyle w:val="52"/>
          <w:color w:val="000000" w:themeColor="text1"/>
          <w:szCs w:val="24"/>
          <w:u w:val="none"/>
          <w14:textFill>
            <w14:solidFill>
              <w14:schemeClr w14:val="tx1"/>
            </w14:solidFill>
          </w14:textFill>
        </w:rPr>
        <w:t>Co-pyrolysis of food waste and wood bark to produce hydrogen with minimizing pollutant emissions</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 Environ Pollut, 2021, 270:</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116045.</w:t>
      </w:r>
    </w:p>
    <w:p>
      <w:pPr>
        <w:numPr>
          <w:ilvl w:val="0"/>
          <w:numId w:val="11"/>
        </w:numPr>
        <w:ind w:left="510" w:hanging="510"/>
        <w:jc w:val="both"/>
        <w:rPr>
          <w:color w:val="000000" w:themeColor="text1"/>
          <w:szCs w:val="24"/>
          <w14:textFill>
            <w14:solidFill>
              <w14:schemeClr w14:val="tx1"/>
            </w14:solidFill>
          </w14:textFill>
        </w:rPr>
      </w:pPr>
      <w:bookmarkStart w:id="63" w:name="_Ref894806217"/>
      <w:r>
        <w:rPr>
          <w:color w:val="000000" w:themeColor="text1"/>
          <w:szCs w:val="24"/>
          <w14:textFill>
            <w14:solidFill>
              <w14:schemeClr w14:val="tx1"/>
            </w14:solidFill>
          </w14:textFill>
        </w:rPr>
        <w:t>郭辰星,</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朱震锋,</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刘嘉琦.</w:t>
      </w:r>
      <w:r>
        <w:rPr>
          <w:rFonts w:hint="eastAsia"/>
          <w:color w:val="000000" w:themeColor="text1"/>
          <w:szCs w:val="24"/>
          <w:lang w:val="en-US" w:eastAsia="zh-CN"/>
          <w14:textFill>
            <w14:solidFill>
              <w14:schemeClr w14:val="tx1"/>
            </w14:solidFill>
          </w14:textFill>
        </w:rPr>
        <w:t xml:space="preserve"> </w:t>
      </w:r>
      <w:r>
        <w:fldChar w:fldCharType="begin"/>
      </w:r>
      <w:r>
        <w:instrText xml:space="preserve"> HYPERLINK "https://kns.cnki.net/kcms2/article/abstract?v=Vof-4b7nxdAkNyzgrs_YmdjcIcPJ7cwlhFUHAMJIyLuJjGH3-nOOJroG1YbKt30hfrnWSaRT8w_aEQro2Ns31Vb85N0hS3ebOeHa9ZolR9CSe4ZKuWHqEVDQ-oOE8M0kbqwlOsi1a6YeNyYNAaws-Q==&amp;uniplatform=NZKPT&amp;language=CHS" </w:instrText>
      </w:r>
      <w:r>
        <w:fldChar w:fldCharType="separate"/>
      </w:r>
      <w:r>
        <w:rPr>
          <w:rStyle w:val="52"/>
          <w:color w:val="000000" w:themeColor="text1"/>
          <w:szCs w:val="24"/>
          <w:u w:val="none"/>
          <w14:textFill>
            <w14:solidFill>
              <w14:schemeClr w14:val="tx1"/>
            </w14:solidFill>
          </w14:textFill>
        </w:rPr>
        <w:t>新时期中国木材资源供需</w:t>
      </w:r>
      <w:r>
        <w:rPr>
          <w:rStyle w:val="52"/>
          <w:rFonts w:hint="default"/>
          <w:color w:val="000000" w:themeColor="text1"/>
          <w:szCs w:val="24"/>
          <w:u w:val="none"/>
          <w:lang w:val="en-US"/>
          <w14:textFill>
            <w14:solidFill>
              <w14:schemeClr w14:val="tx1"/>
            </w14:solidFill>
          </w14:textFill>
        </w:rPr>
        <w:t xml:space="preserve">: </w:t>
      </w:r>
      <w:r>
        <w:rPr>
          <w:rStyle w:val="52"/>
          <w:color w:val="000000" w:themeColor="text1"/>
          <w:szCs w:val="24"/>
          <w:u w:val="none"/>
          <w14:textFill>
            <w14:solidFill>
              <w14:schemeClr w14:val="tx1"/>
            </w14:solidFill>
          </w14:textFill>
        </w:rPr>
        <w:t>现状、问题及方略</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中国林业经济,</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2019(05).</w:t>
      </w:r>
      <w:bookmarkEnd w:id="57"/>
      <w:bookmarkEnd w:id="59"/>
      <w:bookmarkEnd w:id="63"/>
    </w:p>
    <w:p>
      <w:pPr>
        <w:numPr>
          <w:ilvl w:val="0"/>
          <w:numId w:val="11"/>
        </w:numPr>
        <w:ind w:left="510" w:hanging="510"/>
        <w:jc w:val="both"/>
        <w:rPr>
          <w:color w:val="000000" w:themeColor="text1"/>
          <w:szCs w:val="24"/>
          <w14:textFill>
            <w14:solidFill>
              <w14:schemeClr w14:val="tx1"/>
            </w14:solidFill>
          </w14:textFill>
        </w:rPr>
      </w:pPr>
      <w:bookmarkStart w:id="64" w:name="_Ref1884135170"/>
      <w:r>
        <w:rPr>
          <w:color w:val="000000" w:themeColor="text1"/>
          <w:szCs w:val="24"/>
          <w14:textFill>
            <w14:solidFill>
              <w14:schemeClr w14:val="tx1"/>
            </w14:solidFill>
          </w14:textFill>
        </w:rPr>
        <w:t>李健,</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侯贤锋,</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杜玥明,</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刘思琴,</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袁梓翔,</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高振忠.</w:t>
      </w:r>
      <w:r>
        <w:rPr>
          <w:rFonts w:hint="default"/>
          <w:color w:val="000000" w:themeColor="text1"/>
          <w:szCs w:val="24"/>
          <w:lang w:val="en-US"/>
          <w14:textFill>
            <w14:solidFill>
              <w14:schemeClr w14:val="tx1"/>
            </w14:solidFill>
          </w14:textFill>
        </w:rPr>
        <w:t xml:space="preserve"> </w:t>
      </w:r>
      <w:r>
        <w:fldChar w:fldCharType="begin"/>
      </w:r>
      <w:r>
        <w:instrText xml:space="preserve"> HYPERLINK "https://kns.cnki.net/kcms2/article/abstract?v=Vof-4b7nxdBWJPKobucKdE_ygVhA86cszsaE6CgIrC5SolnVMjzgcVxm1irDpZP7j43gvqOdly10RjptUBWuiit8e5AQj5PhHIIvfsNT5w8OQvwiLDVrLFM23eBuu0U0umDbF5Qxa4GVFkSFy4S6QA==&amp;uniplatform=NZKPT&amp;language=CHS" </w:instrText>
      </w:r>
      <w:r>
        <w:fldChar w:fldCharType="separate"/>
      </w:r>
      <w:r>
        <w:rPr>
          <w:rStyle w:val="52"/>
          <w:color w:val="000000" w:themeColor="text1"/>
          <w:szCs w:val="24"/>
          <w:u w:val="none"/>
          <w14:textFill>
            <w14:solidFill>
              <w14:schemeClr w14:val="tx1"/>
            </w14:solidFill>
          </w14:textFill>
        </w:rPr>
        <w:t>废弃人造板再利用研究进展</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林业科技,</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2019(03).</w:t>
      </w:r>
      <w:bookmarkEnd w:id="64"/>
    </w:p>
    <w:p>
      <w:pPr>
        <w:numPr>
          <w:ilvl w:val="0"/>
          <w:numId w:val="11"/>
        </w:numPr>
        <w:ind w:left="510" w:hanging="510"/>
        <w:jc w:val="both"/>
        <w:rPr>
          <w:color w:val="000000" w:themeColor="text1"/>
          <w:szCs w:val="24"/>
          <w14:textFill>
            <w14:solidFill>
              <w14:schemeClr w14:val="tx1"/>
            </w14:solidFill>
          </w14:textFill>
        </w:rPr>
      </w:pPr>
      <w:bookmarkStart w:id="65" w:name="_Ref1967168853"/>
      <w:bookmarkStart w:id="66" w:name="_Ref1384682515"/>
      <w:r>
        <w:rPr>
          <w:color w:val="000000" w:themeColor="text1"/>
          <w:szCs w:val="24"/>
          <w14:textFill>
            <w14:solidFill>
              <w14:schemeClr w14:val="tx1"/>
            </w14:solidFill>
          </w14:textFill>
        </w:rPr>
        <w:t>李晓娜,</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李建章,</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李炯炯.</w:t>
      </w:r>
      <w:r>
        <w:rPr>
          <w:rFonts w:hint="default"/>
          <w:color w:val="000000" w:themeColor="text1"/>
          <w:szCs w:val="24"/>
          <w:lang w:val="en-US"/>
          <w14:textFill>
            <w14:solidFill>
              <w14:schemeClr w14:val="tx1"/>
            </w14:solidFill>
          </w14:textFill>
        </w:rPr>
        <w:t xml:space="preserve"> </w:t>
      </w:r>
      <w:r>
        <w:fldChar w:fldCharType="begin"/>
      </w:r>
      <w:r>
        <w:instrText xml:space="preserve"> HYPERLINK "https://kns.cnki.net/kcms2/article/abstract?v=Vof-4b7nxdCmmJXAaz-cORKBWcyjRgE81TFU0KhkEdU-OvK_UW9WuMRpZN8X4m88NqmGqR8IbOR-U8Ywr2u6HMXfFAa2XQSj5ouZD2FZ04s6JOCltQXsFZ9V5c1ImCGne_Ni3lCD6VFYqP9BM6vJzg==&amp;uniplatform=NZKPT&amp;language=CHS" </w:instrText>
      </w:r>
      <w:r>
        <w:fldChar w:fldCharType="separate"/>
      </w:r>
      <w:r>
        <w:rPr>
          <w:rStyle w:val="52"/>
          <w:color w:val="000000" w:themeColor="text1"/>
          <w:szCs w:val="24"/>
          <w:u w:val="none"/>
          <w14:textFill>
            <w14:solidFill>
              <w14:schemeClr w14:val="tx1"/>
            </w14:solidFill>
          </w14:textFill>
        </w:rPr>
        <w:t>无机添加剂改性脲醛树脂胶黏剂研究进展</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林业工程学报,</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2021(03).</w:t>
      </w:r>
      <w:bookmarkEnd w:id="65"/>
    </w:p>
    <w:p>
      <w:pPr>
        <w:numPr>
          <w:ilvl w:val="0"/>
          <w:numId w:val="11"/>
        </w:numPr>
        <w:ind w:left="510" w:hanging="510"/>
        <w:jc w:val="both"/>
        <w:rPr>
          <w:color w:val="000000" w:themeColor="text1"/>
          <w:szCs w:val="24"/>
          <w14:textFill>
            <w14:solidFill>
              <w14:schemeClr w14:val="tx1"/>
            </w14:solidFill>
          </w14:textFill>
        </w:rPr>
      </w:pPr>
      <w:bookmarkStart w:id="67" w:name="_Ref657981968"/>
      <w:bookmarkEnd w:id="67"/>
      <w:r>
        <w:rPr>
          <w:color w:val="000000" w:themeColor="text1"/>
          <w:szCs w:val="24"/>
          <w14:textFill>
            <w14:solidFill>
              <w14:schemeClr w14:val="tx1"/>
            </w14:solidFill>
          </w14:textFill>
        </w:rPr>
        <w:t>刘海一,</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黄金勇,</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李新芝.</w:t>
      </w:r>
      <w:r>
        <w:rPr>
          <w:rFonts w:hint="default"/>
          <w:color w:val="000000" w:themeColor="text1"/>
          <w:szCs w:val="24"/>
          <w:lang w:val="en-US"/>
          <w14:textFill>
            <w14:solidFill>
              <w14:schemeClr w14:val="tx1"/>
            </w14:solidFill>
          </w14:textFill>
        </w:rPr>
        <w:t xml:space="preserve"> </w:t>
      </w:r>
      <w:r>
        <w:fldChar w:fldCharType="begin"/>
      </w:r>
      <w:r>
        <w:instrText xml:space="preserve"> HYPERLINK "https://kns.cnki.net/kcms2/article/abstract?v=Vof-4b7nxdB3E_K2Wkk6VEulEDBsgOGvJhyunH1-gelaOb7RYV5sJN0utJTpcpkGM0tA3kI3FuKh4i-_lZlFSuheU4AIliyy0XQZsKS8wQg3vdoqpSzFcohI74OFqNq087utckGFFGve4Ij3X-7LrQ==&amp;uniplatform=NZKPT&amp;language=CHS" </w:instrText>
      </w:r>
      <w:r>
        <w:fldChar w:fldCharType="separate"/>
      </w:r>
      <w:r>
        <w:rPr>
          <w:rStyle w:val="52"/>
          <w:color w:val="000000" w:themeColor="text1"/>
          <w:szCs w:val="24"/>
          <w:u w:val="none"/>
          <w14:textFill>
            <w14:solidFill>
              <w14:schemeClr w14:val="tx1"/>
            </w14:solidFill>
          </w14:textFill>
        </w:rPr>
        <w:t>欧洲木质废弃物利用与木质能源展望</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再生资源与循环经济,</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2018(08).</w:t>
      </w:r>
    </w:p>
    <w:p>
      <w:pPr>
        <w:numPr>
          <w:ilvl w:val="0"/>
          <w:numId w:val="11"/>
        </w:numPr>
        <w:ind w:left="510" w:hanging="510"/>
        <w:jc w:val="both"/>
        <w:rPr>
          <w:color w:val="000000" w:themeColor="text1"/>
          <w:szCs w:val="24"/>
          <w14:textFill>
            <w14:solidFill>
              <w14:schemeClr w14:val="tx1"/>
            </w14:solidFill>
          </w14:textFill>
        </w:rPr>
      </w:pPr>
      <w:bookmarkStart w:id="68" w:name="_Ref2084445912"/>
      <w:r>
        <w:rPr>
          <w:color w:val="000000" w:themeColor="text1"/>
          <w:szCs w:val="24"/>
          <w14:textFill>
            <w14:solidFill>
              <w14:schemeClr w14:val="tx1"/>
            </w14:solidFill>
          </w14:textFill>
        </w:rPr>
        <w:t>任天航,</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刘明,</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吴义强等.</w:t>
      </w:r>
      <w:r>
        <w:rPr>
          <w:rFonts w:hint="default"/>
          <w:color w:val="000000" w:themeColor="text1"/>
          <w:szCs w:val="24"/>
          <w:lang w:val="en-US"/>
          <w14:textFill>
            <w14:solidFill>
              <w14:schemeClr w14:val="tx1"/>
            </w14:solidFill>
          </w14:textFill>
        </w:rPr>
        <w:t xml:space="preserve"> </w:t>
      </w:r>
      <w:r>
        <w:fldChar w:fldCharType="begin"/>
      </w:r>
      <w:r>
        <w:instrText xml:space="preserve"> HYPERLINK "https://kns.cnki.net/kcms2/article/abstract?v=Vof-4b7nxdCScWH9ziKRyOfIDjNADtC_oWBJ8bDEk3beDXccm8BhR9tgyIjb7z01Aj_AZMp6r_JbN9WUaMGGLjTpyXQrXcUAdEbGDbnPNKj640wu-4J8DRbcTXXulOvJYh900DRQ29xaDyghN4SnuA==&amp;uniplatform=NZKPT&amp;language=CHS" </w:instrText>
      </w:r>
      <w:r>
        <w:fldChar w:fldCharType="separate"/>
      </w:r>
      <w:r>
        <w:rPr>
          <w:rStyle w:val="52"/>
          <w:color w:val="000000" w:themeColor="text1"/>
          <w:szCs w:val="24"/>
          <w:u w:val="none"/>
          <w14:textFill>
            <w14:solidFill>
              <w14:schemeClr w14:val="tx1"/>
            </w14:solidFill>
          </w14:textFill>
        </w:rPr>
        <w:t>废弃人造板回收利用研究进展</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林产工业,</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2022,</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59(01):</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34-40.</w:t>
      </w:r>
      <w:bookmarkEnd w:id="68"/>
    </w:p>
    <w:bookmarkEnd w:id="52"/>
    <w:bookmarkEnd w:id="54"/>
    <w:bookmarkEnd w:id="66"/>
    <w:p>
      <w:pPr>
        <w:numPr>
          <w:ilvl w:val="0"/>
          <w:numId w:val="11"/>
        </w:numPr>
        <w:ind w:left="510" w:hanging="510"/>
        <w:jc w:val="both"/>
        <w:rPr>
          <w:color w:val="000000" w:themeColor="text1"/>
          <w:szCs w:val="24"/>
          <w14:textFill>
            <w14:solidFill>
              <w14:schemeClr w14:val="tx1"/>
            </w14:solidFill>
          </w14:textFill>
        </w:rPr>
      </w:pPr>
      <w:bookmarkStart w:id="69" w:name="_Ref1071109996"/>
      <w:r>
        <w:rPr>
          <w:color w:val="000000" w:themeColor="text1"/>
          <w:szCs w:val="24"/>
          <w14:textFill>
            <w14:solidFill>
              <w14:schemeClr w14:val="tx1"/>
            </w14:solidFill>
          </w14:textFill>
        </w:rPr>
        <w:t>任天航.</w:t>
      </w:r>
      <w:r>
        <w:rPr>
          <w:rFonts w:hint="default"/>
          <w:color w:val="000000" w:themeColor="text1"/>
          <w:szCs w:val="24"/>
          <w:lang w:val="en-US"/>
          <w14:textFill>
            <w14:solidFill>
              <w14:schemeClr w14:val="tx1"/>
            </w14:solidFill>
          </w14:textFill>
        </w:rPr>
        <w:t xml:space="preserve"> </w:t>
      </w:r>
      <w:r>
        <w:fldChar w:fldCharType="begin"/>
      </w:r>
      <w:r>
        <w:instrText xml:space="preserve"> HYPERLINK "https://kns.cnki.net/kcms2/article/abstract?v=Vof-4b7nxdAJRIqsBk1IBofO2Yol1M9ydve9rKXNMxS42ZbYaBtqimquZFstipdAKe9tQZvtwnq3RHaKwD-3bMFlwdPQXQ6t2RPuc1x3FD1GE8DOpW4FZHz4eifksQHZ8ukglLxFKq0jCcO9Ai4MKw==&amp;uniplatform=NZKPT&amp;language=CHS" </w:instrText>
      </w:r>
      <w:r>
        <w:fldChar w:fldCharType="separate"/>
      </w:r>
      <w:r>
        <w:rPr>
          <w:rStyle w:val="52"/>
          <w:color w:val="000000" w:themeColor="text1"/>
          <w:szCs w:val="24"/>
          <w:u w:val="none"/>
          <w14:textFill>
            <w14:solidFill>
              <w14:schemeClr w14:val="tx1"/>
            </w14:solidFill>
          </w14:textFill>
        </w:rPr>
        <w:t>水热处理对废弃人造板再生重组胶合特性的影响研究</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[D].</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中南林业科技大学,</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2023.</w:t>
      </w:r>
      <w:bookmarkEnd w:id="69"/>
      <w:bookmarkStart w:id="70" w:name="_Ref303096624"/>
    </w:p>
    <w:p>
      <w:pPr>
        <w:numPr>
          <w:ilvl w:val="0"/>
          <w:numId w:val="11"/>
        </w:numPr>
        <w:ind w:left="510" w:hanging="510"/>
        <w:jc w:val="both"/>
        <w:rPr>
          <w:color w:val="000000" w:themeColor="text1"/>
          <w:szCs w:val="24"/>
          <w14:textFill>
            <w14:solidFill>
              <w14:schemeClr w14:val="tx1"/>
            </w14:solidFill>
          </w14:textFill>
        </w:rPr>
      </w:pPr>
      <w:bookmarkStart w:id="71" w:name="_Ref644688099"/>
      <w:r>
        <w:rPr>
          <w:color w:val="000000" w:themeColor="text1"/>
          <w:szCs w:val="24"/>
          <w14:textFill>
            <w14:solidFill>
              <w14:schemeClr w14:val="tx1"/>
            </w14:solidFill>
          </w14:textFill>
        </w:rPr>
        <w:t>陆强,</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赵微,</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夏源谷等.</w:t>
      </w:r>
      <w:r>
        <w:rPr>
          <w:rFonts w:hint="default"/>
          <w:color w:val="000000" w:themeColor="text1"/>
          <w:szCs w:val="24"/>
          <w:lang w:val="en-US"/>
          <w14:textFill>
            <w14:solidFill>
              <w14:schemeClr w14:val="tx1"/>
            </w14:solidFill>
          </w14:textFill>
        </w:rPr>
        <w:t xml:space="preserve"> </w:t>
      </w:r>
      <w:r>
        <w:fldChar w:fldCharType="begin"/>
      </w:r>
      <w:r>
        <w:instrText xml:space="preserve"> HYPERLINK "https://kns.cnki.net/kcms2/article/abstract?v=Vof-4b7nxdBwF6l02mGLoBanrYVjKpJGCPxU-0SPE5zN6qhoAdCYkvB1zlroKzy5yn6yezymE2izgYe7qUaQrbUy8WzpikNnZxA5t0BBeC_14vXhCvqBNj0Pj59Hnk5H2WGQRhr-iXaYs8yScveH4w==&amp;uniplatform=NZKPT&amp;language=CHS" </w:instrText>
      </w:r>
      <w:r>
        <w:fldChar w:fldCharType="separate"/>
      </w:r>
      <w:r>
        <w:rPr>
          <w:rStyle w:val="52"/>
          <w:color w:val="000000" w:themeColor="text1"/>
          <w:szCs w:val="24"/>
          <w:u w:val="none"/>
          <w14:textFill>
            <w14:solidFill>
              <w14:schemeClr w14:val="tx1"/>
            </w14:solidFill>
          </w14:textFill>
        </w:rPr>
        <w:t>生物质热解过程中氮元素迁移转化机制研究进展</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燃料化学学报(中英文),</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2023,</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51(08):</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1047-1059,</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1025.</w:t>
      </w:r>
      <w:bookmarkEnd w:id="71"/>
    </w:p>
    <w:p>
      <w:pPr>
        <w:numPr>
          <w:ilvl w:val="0"/>
          <w:numId w:val="11"/>
        </w:numPr>
        <w:ind w:left="510" w:hanging="510"/>
        <w:jc w:val="both"/>
        <w:rPr>
          <w:color w:val="000000" w:themeColor="text1"/>
          <w:szCs w:val="24"/>
          <w14:textFill>
            <w14:solidFill>
              <w14:schemeClr w14:val="tx1"/>
            </w14:solidFill>
          </w14:textFill>
        </w:rPr>
      </w:pPr>
      <w:bookmarkStart w:id="72" w:name="_Ref769022685"/>
      <w:r>
        <w:rPr>
          <w:color w:val="000000" w:themeColor="text1"/>
          <w:szCs w:val="24"/>
          <w14:textFill>
            <w14:solidFill>
              <w14:schemeClr w14:val="tx1"/>
            </w14:solidFill>
          </w14:textFill>
        </w:rPr>
        <w:t>Anca-Couce</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A, Sommersacher</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P, Evic</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N, Mehrabian</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R, &amp; Scharler</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 xml:space="preserve">R. 2018. </w:t>
      </w:r>
      <w:r>
        <w:fldChar w:fldCharType="begin"/>
      </w:r>
      <w:r>
        <w:instrText xml:space="preserve"> HYPERLINK "https://www.sciencedirect.com/science/article/pii/S0016236118303934" </w:instrText>
      </w:r>
      <w:r>
        <w:fldChar w:fldCharType="separate"/>
      </w:r>
      <w:r>
        <w:rPr>
          <w:rStyle w:val="52"/>
          <w:color w:val="000000" w:themeColor="text1"/>
          <w:szCs w:val="24"/>
          <w:u w:val="none"/>
          <w14:textFill>
            <w14:solidFill>
              <w14:schemeClr w14:val="tx1"/>
            </w14:solidFill>
          </w14:textFill>
        </w:rPr>
        <w:t>Experiments and modelling of NO</w:t>
      </w:r>
      <w:r>
        <w:rPr>
          <w:rStyle w:val="52"/>
          <w:color w:val="000000" w:themeColor="text1"/>
          <w:szCs w:val="24"/>
          <w:u w:val="none"/>
          <w:vertAlign w:val="subscript"/>
          <w14:textFill>
            <w14:solidFill>
              <w14:schemeClr w14:val="tx1"/>
            </w14:solidFill>
          </w14:textFill>
        </w:rPr>
        <w:t>x</w:t>
      </w:r>
      <w:r>
        <w:rPr>
          <w:rStyle w:val="52"/>
          <w:color w:val="000000" w:themeColor="text1"/>
          <w:szCs w:val="24"/>
          <w:u w:val="none"/>
          <w14:textFill>
            <w14:solidFill>
              <w14:schemeClr w14:val="tx1"/>
            </w14:solidFill>
          </w14:textFill>
        </w:rPr>
        <w:t xml:space="preserve"> precursors release (NH</w:t>
      </w:r>
      <w:r>
        <w:rPr>
          <w:rStyle w:val="52"/>
          <w:color w:val="000000" w:themeColor="text1"/>
          <w:szCs w:val="24"/>
          <w:u w:val="none"/>
          <w:vertAlign w:val="subscript"/>
          <w14:textFill>
            <w14:solidFill>
              <w14:schemeClr w14:val="tx1"/>
            </w14:solidFill>
          </w14:textFill>
        </w:rPr>
        <w:t>3</w:t>
      </w:r>
      <w:r>
        <w:rPr>
          <w:rStyle w:val="52"/>
          <w:color w:val="000000" w:themeColor="text1"/>
          <w:szCs w:val="24"/>
          <w:u w:val="none"/>
          <w14:textFill>
            <w14:solidFill>
              <w14:schemeClr w14:val="tx1"/>
            </w14:solidFill>
          </w14:textFill>
        </w:rPr>
        <w:t xml:space="preserve"> and HCN) in fixed-bed biomass combustion conditions</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 Fuel, 222, 529-537.</w:t>
      </w:r>
    </w:p>
    <w:bookmarkEnd w:id="72"/>
    <w:p>
      <w:pPr>
        <w:numPr>
          <w:ilvl w:val="0"/>
          <w:numId w:val="11"/>
        </w:numPr>
        <w:ind w:left="510" w:hanging="510"/>
        <w:jc w:val="both"/>
        <w:rPr>
          <w:color w:val="000000" w:themeColor="text1"/>
          <w:szCs w:val="24"/>
          <w14:textFill>
            <w14:solidFill>
              <w14:schemeClr w14:val="tx1"/>
            </w14:solidFill>
          </w14:textFill>
        </w:rPr>
      </w:pPr>
      <w:bookmarkStart w:id="73" w:name="_Ref1826408334"/>
      <w:bookmarkStart w:id="74" w:name="_Ref580487286"/>
      <w:r>
        <w:rPr>
          <w:color w:val="000000" w:themeColor="text1"/>
          <w:szCs w:val="24"/>
          <w14:textFill>
            <w14:solidFill>
              <w14:schemeClr w14:val="tx1"/>
            </w14:solidFill>
          </w14:textFill>
        </w:rPr>
        <w:t>Neves</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D, Thunman</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H, Matos</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A, Tarelho</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L, &amp; Gomez-Barea</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A. 2011</w:t>
      </w:r>
      <w:r>
        <w:rPr>
          <w:rFonts w:hint="default"/>
          <w:color w:val="000000" w:themeColor="text1"/>
          <w:szCs w:val="24"/>
          <w:lang w:val="en-US"/>
          <w14:textFill>
            <w14:solidFill>
              <w14:schemeClr w14:val="tx1"/>
            </w14:solidFill>
          </w14:textFill>
        </w:rPr>
        <w:t>.</w:t>
      </w:r>
      <w:r>
        <w:rPr>
          <w:color w:val="000000" w:themeColor="text1"/>
          <w:szCs w:val="24"/>
          <w14:textFill>
            <w14:solidFill>
              <w14:schemeClr w14:val="tx1"/>
            </w14:solidFill>
          </w14:textFill>
        </w:rPr>
        <w:t xml:space="preserve"> </w:t>
      </w:r>
      <w:r>
        <w:fldChar w:fldCharType="begin"/>
      </w:r>
      <w:r>
        <w:instrText xml:space="preserve"> HYPERLINK "https://www.sciencedirect.com/science/article/pii/S0360128511000025" </w:instrText>
      </w:r>
      <w:r>
        <w:fldChar w:fldCharType="separate"/>
      </w:r>
      <w:r>
        <w:rPr>
          <w:rStyle w:val="52"/>
          <w:color w:val="000000" w:themeColor="text1"/>
          <w:szCs w:val="24"/>
          <w:u w:val="none"/>
          <w14:textFill>
            <w14:solidFill>
              <w14:schemeClr w14:val="tx1"/>
            </w14:solidFill>
          </w14:textFill>
        </w:rPr>
        <w:t>Characterization and prediction of biomass pyrolysis products</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 Progress in Energy and Combustion Science, 37(5), 611-630.</w:t>
      </w:r>
      <w:bookmarkEnd w:id="73"/>
    </w:p>
    <w:bookmarkEnd w:id="74"/>
    <w:p>
      <w:pPr>
        <w:numPr>
          <w:ilvl w:val="0"/>
          <w:numId w:val="11"/>
        </w:numPr>
        <w:ind w:left="510" w:hanging="510"/>
        <w:jc w:val="both"/>
        <w:rPr>
          <w:color w:val="000000" w:themeColor="text1"/>
          <w:szCs w:val="24"/>
          <w14:textFill>
            <w14:solidFill>
              <w14:schemeClr w14:val="tx1"/>
            </w14:solidFill>
          </w14:textFill>
        </w:rPr>
      </w:pPr>
      <w:bookmarkStart w:id="75" w:name="_Ref758721652"/>
      <w:r>
        <w:rPr>
          <w:color w:val="000000" w:themeColor="text1"/>
          <w:szCs w:val="24"/>
          <w14:textFill>
            <w14:solidFill>
              <w14:schemeClr w14:val="tx1"/>
            </w14:solidFill>
          </w14:textFill>
        </w:rPr>
        <w:t>Chen</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H, Wang Y, Xu G, &amp; Yoshikawa</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 xml:space="preserve">K. 2012. </w:t>
      </w:r>
      <w:r>
        <w:fldChar w:fldCharType="begin"/>
      </w:r>
      <w:r>
        <w:instrText xml:space="preserve"> HYPERLINK "https://www.mdpi.com/1996-1073/5/12/5418" </w:instrText>
      </w:r>
      <w:r>
        <w:fldChar w:fldCharType="separate"/>
      </w:r>
      <w:r>
        <w:rPr>
          <w:rStyle w:val="52"/>
          <w:color w:val="000000" w:themeColor="text1"/>
          <w:szCs w:val="24"/>
          <w:u w:val="none"/>
          <w14:textFill>
            <w14:solidFill>
              <w14:schemeClr w14:val="tx1"/>
            </w14:solidFill>
          </w14:textFill>
        </w:rPr>
        <w:t>Fuel-N evolution during the pyrolysis of industrial biomass wastes with high nitrogen content</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 Energies, 5(12), 5418-5438.</w:t>
      </w:r>
    </w:p>
    <w:bookmarkEnd w:id="75"/>
    <w:p>
      <w:pPr>
        <w:numPr>
          <w:ilvl w:val="0"/>
          <w:numId w:val="11"/>
        </w:numPr>
        <w:ind w:left="510" w:hanging="510"/>
        <w:jc w:val="both"/>
        <w:rPr>
          <w:color w:val="000000" w:themeColor="text1"/>
          <w:szCs w:val="24"/>
          <w14:textFill>
            <w14:solidFill>
              <w14:schemeClr w14:val="tx1"/>
            </w14:solidFill>
          </w14:textFill>
        </w:rPr>
      </w:pPr>
      <w:bookmarkStart w:id="76" w:name="_Ref890482365"/>
      <w:r>
        <w:rPr>
          <w:color w:val="000000" w:themeColor="text1"/>
          <w:szCs w:val="24"/>
          <w14:textFill>
            <w14:solidFill>
              <w14:schemeClr w14:val="tx1"/>
            </w14:solidFill>
          </w14:textFill>
        </w:rPr>
        <w:t>刘亮,</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郑扬,</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黄思彪等.</w:t>
      </w:r>
      <w:r>
        <w:rPr>
          <w:rFonts w:hint="default"/>
          <w:color w:val="000000" w:themeColor="text1"/>
          <w:szCs w:val="24"/>
          <w:lang w:val="en-US"/>
          <w14:textFill>
            <w14:solidFill>
              <w14:schemeClr w14:val="tx1"/>
            </w14:solidFill>
          </w14:textFill>
        </w:rPr>
        <w:t xml:space="preserve"> </w:t>
      </w:r>
      <w:r>
        <w:fldChar w:fldCharType="begin"/>
      </w:r>
      <w:r>
        <w:instrText xml:space="preserve"> HYPERLINK "https://kns.cnki.net/kcms2/article/abstract?v=Vof-4b7nxdABnRv4kv8jWJwW1zWylO48nO4zTsWAA2xu3atdkIKtp6o0Hu-j1q3lU6G-SiTEmSrn22w_R_i3srIEr0MiHCjQj8ne7Ogq7-oNcKLXYUyXpIDaH4Nia0yo3joTLfkB74XoCQjShd3qog==&amp;uniplatform=NZKPT&amp;language=CHS" </w:instrText>
      </w:r>
      <w:r>
        <w:fldChar w:fldCharType="separate"/>
      </w:r>
      <w:r>
        <w:rPr>
          <w:rStyle w:val="52"/>
          <w:color w:val="000000" w:themeColor="text1"/>
          <w:szCs w:val="24"/>
          <w:u w:val="none"/>
          <w14:textFill>
            <w14:solidFill>
              <w14:schemeClr w14:val="tx1"/>
            </w14:solidFill>
          </w14:textFill>
        </w:rPr>
        <w:t>生物质热解过程中氮迁移转化机理研究进展</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农业工程学报, 2022, 38(19): 227-236.</w:t>
      </w:r>
      <w:bookmarkEnd w:id="76"/>
    </w:p>
    <w:p>
      <w:pPr>
        <w:numPr>
          <w:ilvl w:val="0"/>
          <w:numId w:val="11"/>
        </w:numPr>
        <w:ind w:left="510" w:hanging="510"/>
        <w:jc w:val="both"/>
        <w:rPr>
          <w:color w:val="000000" w:themeColor="text1"/>
          <w:szCs w:val="24"/>
          <w14:textFill>
            <w14:solidFill>
              <w14:schemeClr w14:val="tx1"/>
            </w14:solidFill>
          </w14:textFill>
        </w:rPr>
      </w:pPr>
      <w:bookmarkStart w:id="77" w:name="_Ref2003973596"/>
      <w:bookmarkStart w:id="78" w:name="_Ref1473506265"/>
      <w:r>
        <w:rPr>
          <w:rFonts w:hint="eastAsia"/>
          <w:color w:val="000000" w:themeColor="text1"/>
          <w:szCs w:val="24"/>
          <w14:textFill>
            <w14:solidFill>
              <w14:schemeClr w14:val="tx1"/>
            </w14:solidFill>
          </w14:textFill>
        </w:rPr>
        <w:t>马</w:t>
      </w:r>
      <w:r>
        <w:rPr>
          <w:color w:val="000000" w:themeColor="text1"/>
          <w:szCs w:val="24"/>
          <w14:textFill>
            <w14:solidFill>
              <w14:schemeClr w14:val="tx1"/>
            </w14:solidFill>
          </w14:textFill>
        </w:rPr>
        <w:t>楠,</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李佳俊,</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张力等.</w:t>
      </w:r>
      <w:r>
        <w:rPr>
          <w:rFonts w:hint="default"/>
          <w:color w:val="000000" w:themeColor="text1"/>
          <w:szCs w:val="24"/>
          <w:lang w:val="en-US"/>
          <w14:textFill>
            <w14:solidFill>
              <w14:schemeClr w14:val="tx1"/>
            </w14:solidFill>
          </w14:textFill>
        </w:rPr>
        <w:t xml:space="preserve"> </w:t>
      </w:r>
      <w:r>
        <w:fldChar w:fldCharType="begin"/>
      </w:r>
      <w:r>
        <w:instrText xml:space="preserve"> HYPERLINK "https://kns.cnki.net/kcms2/article/abstract?v=Vof-4b7nxdCiRJRB4NBuzaFCW-UcrXdtR1dWUknAIFttE-Gf8uRra7cUjGU6TTOYTIdIjdiuAz4a4XARIT6fpRCtkkzlX4uaksa6j3eeKJjf6vjird-ieM3NA_Zj4ylmBUJzaX-l5tkoUr-nOs-XXA==&amp;uniplatform=NZKPT&amp;language=CHS" </w:instrText>
      </w:r>
      <w:r>
        <w:fldChar w:fldCharType="separate"/>
      </w:r>
      <w:r>
        <w:rPr>
          <w:rStyle w:val="37"/>
          <w:color w:val="000000" w:themeColor="text1"/>
          <w:szCs w:val="24"/>
          <w:u w:val="none"/>
          <w14:textFill>
            <w14:solidFill>
              <w14:schemeClr w14:val="tx1"/>
            </w14:solidFill>
          </w14:textFill>
        </w:rPr>
        <w:t>纤维板/竹材共水热转化水热炭中氮的迁移转化研究</w:t>
      </w:r>
      <w:r>
        <w:rPr>
          <w:rStyle w:val="37"/>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林产工业,</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2023,</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60(12):</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15-20.</w:t>
      </w:r>
      <w:bookmarkEnd w:id="77"/>
    </w:p>
    <w:bookmarkEnd w:id="70"/>
    <w:bookmarkEnd w:id="78"/>
    <w:p>
      <w:pPr>
        <w:numPr>
          <w:ilvl w:val="0"/>
          <w:numId w:val="11"/>
        </w:numPr>
        <w:ind w:left="510" w:hanging="510"/>
        <w:jc w:val="both"/>
        <w:rPr>
          <w:color w:val="000000" w:themeColor="text1"/>
          <w:szCs w:val="24"/>
          <w14:textFill>
            <w14:solidFill>
              <w14:schemeClr w14:val="tx1"/>
            </w14:solidFill>
          </w14:textFill>
        </w:rPr>
      </w:pPr>
      <w:r>
        <w:rPr>
          <w:color w:val="000000" w:themeColor="text1"/>
          <w:szCs w:val="24"/>
          <w14:textFill>
            <w14:solidFill>
              <w14:schemeClr w14:val="tx1"/>
            </w14:solidFill>
          </w14:textFill>
        </w:rPr>
        <w:t>李小华,</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焦丽华,</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樊永胜等.</w:t>
      </w:r>
      <w:r>
        <w:rPr>
          <w:rFonts w:hint="default"/>
          <w:color w:val="000000" w:themeColor="text1"/>
          <w:szCs w:val="24"/>
          <w:lang w:val="en-US"/>
          <w14:textFill>
            <w14:solidFill>
              <w14:schemeClr w14:val="tx1"/>
            </w14:solidFill>
          </w14:textFill>
        </w:rPr>
        <w:t xml:space="preserve"> </w:t>
      </w:r>
      <w:r>
        <w:fldChar w:fldCharType="begin"/>
      </w:r>
      <w:r>
        <w:instrText xml:space="preserve"> HYPERLINK "https://kns.cnki.net/kcms2/article/abstract?v=Vof-4b7nxdCX8vO7vr66-OTm2p53oZU2JUwPGOjLNusKon2dg9kGQEy9x8qx8D9LfthfElHVTVjZcP1vQvdvlvS4bg1DrgK7zlX3v5VbNpqm97tpbIeiMY95PQnetu0quRGIFX46kp_w2G0Bry-8xw==&amp;uniplatform=NZKPT&amp;language=CHS" </w:instrText>
      </w:r>
      <w:r>
        <w:fldChar w:fldCharType="separate"/>
      </w:r>
      <w:r>
        <w:rPr>
          <w:rStyle w:val="37"/>
          <w:color w:val="000000" w:themeColor="text1"/>
          <w:szCs w:val="24"/>
          <w:u w:val="none"/>
          <w14:textFill>
            <w14:solidFill>
              <w14:schemeClr w14:val="tx1"/>
            </w14:solidFill>
          </w14:textFill>
        </w:rPr>
        <w:t>纤维素木聚糖和木质素含量对生物质热解特性及产物的影响</w:t>
      </w:r>
      <w:r>
        <w:rPr>
          <w:rStyle w:val="37"/>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农业工程学报,</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2015,</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31(13):</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236-243.</w:t>
      </w:r>
    </w:p>
    <w:p>
      <w:pPr>
        <w:numPr>
          <w:ilvl w:val="0"/>
          <w:numId w:val="11"/>
        </w:numPr>
        <w:ind w:left="510" w:hanging="510"/>
        <w:jc w:val="both"/>
        <w:rPr>
          <w:color w:val="000000" w:themeColor="text1"/>
          <w:szCs w:val="24"/>
          <w14:textFill>
            <w14:solidFill>
              <w14:schemeClr w14:val="tx1"/>
            </w14:solidFill>
          </w14:textFill>
        </w:rPr>
      </w:pPr>
      <w:bookmarkStart w:id="79" w:name="_Ref1523743767"/>
      <w:r>
        <w:rPr>
          <w:color w:val="000000" w:themeColor="text1"/>
          <w:szCs w:val="24"/>
          <w14:textFill>
            <w14:solidFill>
              <w14:schemeClr w14:val="tx1"/>
            </w14:solidFill>
          </w14:textFill>
        </w:rPr>
        <w:t xml:space="preserve">Zhao C, Yan Z Z, Yang S, et al. </w:t>
      </w:r>
      <w:r>
        <w:fldChar w:fldCharType="begin"/>
      </w:r>
      <w:r>
        <w:instrText xml:space="preserve"> HYPERLINK "https://scholar.google.com/scholar?cluster=4490984334732548537&amp;hl=en&amp;as_sdt=2005&amp;sciodt=0,5" </w:instrText>
      </w:r>
      <w:r>
        <w:fldChar w:fldCharType="separate"/>
      </w:r>
      <w:r>
        <w:rPr>
          <w:rStyle w:val="52"/>
          <w:color w:val="000000" w:themeColor="text1"/>
          <w:szCs w:val="24"/>
          <w:u w:val="none"/>
          <w14:textFill>
            <w14:solidFill>
              <w14:schemeClr w14:val="tx1"/>
            </w14:solidFill>
          </w14:textFill>
        </w:rPr>
        <w:t>Affecting the migration of nitrogen elements during coal pyrolgsis</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 Applied Chemical Industry, 2018, 47(4):</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208-211.</w:t>
      </w:r>
      <w:bookmarkEnd w:id="79"/>
    </w:p>
    <w:p>
      <w:pPr>
        <w:numPr>
          <w:ilvl w:val="0"/>
          <w:numId w:val="11"/>
        </w:numPr>
        <w:ind w:left="510" w:hanging="510"/>
        <w:jc w:val="both"/>
        <w:rPr>
          <w:color w:val="000000" w:themeColor="text1"/>
          <w:szCs w:val="24"/>
          <w14:textFill>
            <w14:solidFill>
              <w14:schemeClr w14:val="tx1"/>
            </w14:solidFill>
          </w14:textFill>
        </w:rPr>
      </w:pPr>
      <w:bookmarkStart w:id="80" w:name="_Ref654844260"/>
      <w:r>
        <w:rPr>
          <w:color w:val="000000" w:themeColor="text1"/>
          <w:szCs w:val="24"/>
          <w14:textFill>
            <w14:solidFill>
              <w14:schemeClr w14:val="tx1"/>
            </w14:solidFill>
          </w14:textFill>
        </w:rPr>
        <w:t xml:space="preserve">Wei F, Cao J P, Zhao X Y, et al. </w:t>
      </w:r>
      <w:r>
        <w:fldChar w:fldCharType="begin"/>
      </w:r>
      <w:r>
        <w:instrText xml:space="preserve"> HYPERLINK "https://www.sciencedirect.com/science/article/pii/S0016236118300346" </w:instrText>
      </w:r>
      <w:r>
        <w:fldChar w:fldCharType="separate"/>
      </w:r>
      <w:r>
        <w:rPr>
          <w:rStyle w:val="52"/>
          <w:color w:val="000000" w:themeColor="text1"/>
          <w:szCs w:val="24"/>
          <w:u w:val="none"/>
          <w14:textFill>
            <w14:solidFill>
              <w14:schemeClr w14:val="tx1"/>
            </w14:solidFill>
          </w14:textFill>
        </w:rPr>
        <w:t>Formation of aromatics and removal of nitrogen in catalytic fast pyrolysis of sewage sludge:A study of sewage sludge and model amino acids</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Fuel, 2018, 218:</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148-154.</w:t>
      </w:r>
      <w:bookmarkEnd w:id="80"/>
    </w:p>
    <w:p>
      <w:pPr>
        <w:numPr>
          <w:ilvl w:val="0"/>
          <w:numId w:val="11"/>
        </w:numPr>
        <w:ind w:left="510" w:hanging="510"/>
        <w:jc w:val="both"/>
        <w:rPr>
          <w:color w:val="000000" w:themeColor="text1"/>
          <w:szCs w:val="24"/>
          <w14:textFill>
            <w14:solidFill>
              <w14:schemeClr w14:val="tx1"/>
            </w14:solidFill>
          </w14:textFill>
        </w:rPr>
      </w:pPr>
      <w:bookmarkStart w:id="81" w:name="_Ref1634192670"/>
      <w:r>
        <w:rPr>
          <w:color w:val="000000" w:themeColor="text1"/>
          <w:szCs w:val="24"/>
          <w14:textFill>
            <w14:solidFill>
              <w14:schemeClr w14:val="tx1"/>
            </w14:solidFill>
          </w14:textFill>
        </w:rPr>
        <w:t>刘海峰, 刘银河, 刘艳华, 等.</w:t>
      </w:r>
      <w:r>
        <w:rPr>
          <w:rFonts w:hint="default"/>
          <w:color w:val="000000" w:themeColor="text1"/>
          <w:szCs w:val="24"/>
          <w:lang w:val="en-US"/>
          <w14:textFill>
            <w14:solidFill>
              <w14:schemeClr w14:val="tx1"/>
            </w14:solidFill>
          </w14:textFill>
        </w:rPr>
        <w:t xml:space="preserve"> </w:t>
      </w:r>
      <w:r>
        <w:fldChar w:fldCharType="begin"/>
      </w:r>
      <w:r>
        <w:instrText xml:space="preserve"> HYPERLINK "https://kns.cnki.net/kcms2/article/abstract?v=Vof-4b7nxdDEYpTuv7ze_BXL2AV7Dm-TIwWPzZrJVgMLDfrK2JuzqrcxSE1gnGLm7M4HmxWLkNIyCB-VK_V-RPiV7yn_IRwlMcbT6jFFKaXJEdUMQYDkIql39-fCZfmmf2FoBAQL3y0=&amp;uniplatform=NZKPT&amp;language=CHS" </w:instrText>
      </w:r>
      <w:r>
        <w:fldChar w:fldCharType="separate"/>
      </w:r>
      <w:r>
        <w:rPr>
          <w:rStyle w:val="52"/>
          <w:color w:val="000000" w:themeColor="text1"/>
          <w:szCs w:val="24"/>
          <w:u w:val="none"/>
          <w14:textFill>
            <w14:solidFill>
              <w14:schemeClr w14:val="tx1"/>
            </w14:solidFill>
          </w14:textFill>
        </w:rPr>
        <w:t>煤热解过程中含氨气相产物转化规律的实验研究</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燃料化学学报, 2008, 36(2):</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134-139.</w:t>
      </w:r>
      <w:bookmarkEnd w:id="81"/>
    </w:p>
    <w:p>
      <w:pPr>
        <w:numPr>
          <w:ilvl w:val="0"/>
          <w:numId w:val="11"/>
        </w:numPr>
        <w:ind w:left="510" w:hanging="510"/>
        <w:jc w:val="both"/>
        <w:rPr>
          <w:color w:val="000000" w:themeColor="text1"/>
          <w:szCs w:val="24"/>
          <w14:textFill>
            <w14:solidFill>
              <w14:schemeClr w14:val="tx1"/>
            </w14:solidFill>
          </w14:textFill>
        </w:rPr>
      </w:pPr>
      <w:bookmarkStart w:id="82" w:name="_Ref1673805441"/>
      <w:r>
        <w:rPr>
          <w:color w:val="000000" w:themeColor="text1"/>
          <w:szCs w:val="24"/>
          <w14:textFill>
            <w14:solidFill>
              <w14:schemeClr w14:val="tx1"/>
            </w14:solidFill>
          </w14:textFill>
        </w:rPr>
        <w:t>冯志华, 聂百胜, 常丽萍, 等.</w:t>
      </w:r>
      <w:r>
        <w:fldChar w:fldCharType="begin"/>
      </w:r>
      <w:r>
        <w:instrText xml:space="preserve"> HYPERLINK "https://kns.cnki.net/kcms2/article/abstract?v=Vof-4b7nxdCJw0gmpcyoCbDTXQyPPOBTZv1-R9SXl9jlUppDIy9Ldi0cydKv4iCnbPdSUBb1ntSVIlDZDhRi-eRFSSQGRAFiksxubCUy4ZrDhRIIflwLeoUmp1fDIgBX-9HiJ-qXnC8=&amp;uniplatform=NZKPT&amp;language=CHS" </w:instrText>
      </w:r>
      <w:r>
        <w:fldChar w:fldCharType="separate"/>
      </w:r>
      <w:r>
        <w:rPr>
          <w:rStyle w:val="52"/>
          <w:color w:val="000000" w:themeColor="text1"/>
          <w:szCs w:val="24"/>
          <w:u w:val="none"/>
          <w14:textFill>
            <w14:solidFill>
              <w14:schemeClr w14:val="tx1"/>
            </w14:solidFill>
          </w14:textFill>
        </w:rPr>
        <w:t>神木煤热解形成NO</w:t>
      </w:r>
      <w:r>
        <w:rPr>
          <w:rStyle w:val="37"/>
          <w:color w:val="000000" w:themeColor="text1"/>
          <w:szCs w:val="24"/>
          <w:u w:val="none"/>
          <w:vertAlign w:val="subscript"/>
          <w14:textFill>
            <w14:solidFill>
              <w14:schemeClr w14:val="tx1"/>
            </w14:solidFill>
          </w14:textFill>
        </w:rPr>
        <w:t>x</w:t>
      </w:r>
      <w:r>
        <w:rPr>
          <w:rStyle w:val="52"/>
          <w:color w:val="000000" w:themeColor="text1"/>
          <w:szCs w:val="24"/>
          <w:u w:val="none"/>
          <w14:textFill>
            <w14:solidFill>
              <w14:schemeClr w14:val="tx1"/>
            </w14:solidFill>
          </w14:textFill>
        </w:rPr>
        <w:t>前驱物影响因素研究</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洁净煤技术, 2005, 11(4):</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46-51.</w:t>
      </w:r>
      <w:bookmarkEnd w:id="82"/>
    </w:p>
    <w:p>
      <w:pPr>
        <w:numPr>
          <w:ilvl w:val="0"/>
          <w:numId w:val="11"/>
        </w:numPr>
        <w:ind w:left="510" w:hanging="510"/>
        <w:jc w:val="both"/>
        <w:rPr>
          <w:color w:val="000000" w:themeColor="text1"/>
          <w:szCs w:val="24"/>
          <w14:textFill>
            <w14:solidFill>
              <w14:schemeClr w14:val="tx1"/>
            </w14:solidFill>
          </w14:textFill>
        </w:rPr>
      </w:pPr>
      <w:bookmarkStart w:id="83" w:name="_Ref1951834375"/>
      <w:r>
        <w:rPr>
          <w:color w:val="000000" w:themeColor="text1"/>
          <w:szCs w:val="24"/>
          <w14:textFill>
            <w14:solidFill>
              <w14:schemeClr w14:val="tx1"/>
            </w14:solidFill>
          </w14:textFill>
        </w:rPr>
        <w:t xml:space="preserve">Archan G, Scharier R, Leonhard P, et al. </w:t>
      </w:r>
      <w:r>
        <w:fldChar w:fldCharType="begin"/>
      </w:r>
      <w:r>
        <w:instrText xml:space="preserve"> HYPERLINK "https://www.sciencedirect.com/science/article/pii/S0016236121009522" </w:instrText>
      </w:r>
      <w:r>
        <w:fldChar w:fldCharType="separate"/>
      </w:r>
      <w:r>
        <w:rPr>
          <w:rStyle w:val="52"/>
          <w:color w:val="000000" w:themeColor="text1"/>
          <w:szCs w:val="24"/>
          <w:u w:val="none"/>
          <w14:textFill>
            <w14:solidFill>
              <w14:schemeClr w14:val="tx1"/>
            </w14:solidFill>
          </w14:textFill>
        </w:rPr>
        <w:t>Detailed NOx precursor measurements within the reduction zone of a novel small-scale fuel flexible biomass combustion technology</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Fuel, 2021, 302(15):</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113-121.</w:t>
      </w:r>
      <w:bookmarkEnd w:id="83"/>
    </w:p>
    <w:p>
      <w:pPr>
        <w:numPr>
          <w:ilvl w:val="0"/>
          <w:numId w:val="11"/>
        </w:numPr>
        <w:ind w:left="510" w:hanging="510"/>
        <w:jc w:val="both"/>
        <w:rPr>
          <w:color w:val="000000" w:themeColor="text1"/>
          <w:szCs w:val="24"/>
          <w14:textFill>
            <w14:solidFill>
              <w14:schemeClr w14:val="tx1"/>
            </w14:solidFill>
          </w14:textFill>
        </w:rPr>
      </w:pPr>
      <w:bookmarkStart w:id="84" w:name="_Ref2082663718"/>
      <w:r>
        <w:rPr>
          <w:color w:val="000000" w:themeColor="text1"/>
          <w:szCs w:val="24"/>
          <w14:textFill>
            <w14:solidFill>
              <w14:schemeClr w14:val="tx1"/>
            </w14:solidFill>
          </w14:textFill>
        </w:rPr>
        <w:t>Guizani C,</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Haddad K,</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Limousy L,</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et al.</w:t>
      </w:r>
      <w:r>
        <w:rPr>
          <w:rFonts w:hint="default"/>
          <w:color w:val="000000" w:themeColor="text1"/>
          <w:szCs w:val="24"/>
          <w:lang w:val="en-US"/>
          <w14:textFill>
            <w14:solidFill>
              <w14:schemeClr w14:val="tx1"/>
            </w14:solidFill>
          </w14:textFill>
        </w:rPr>
        <w:t xml:space="preserve"> </w:t>
      </w:r>
      <w:r>
        <w:fldChar w:fldCharType="begin"/>
      </w:r>
      <w:r>
        <w:instrText xml:space="preserve"> HYPERLINK "https://www.sciencedirect.com/science/article/pii/S0008622317304451" </w:instrText>
      </w:r>
      <w:r>
        <w:fldChar w:fldCharType="separate"/>
      </w:r>
      <w:r>
        <w:rPr>
          <w:rStyle w:val="52"/>
          <w:color w:val="000000" w:themeColor="text1"/>
          <w:szCs w:val="24"/>
          <w:u w:val="none"/>
          <w14:textFill>
            <w14:solidFill>
              <w14:schemeClr w14:val="tx1"/>
            </w14:solidFill>
          </w14:textFill>
        </w:rPr>
        <w:t>New insights on the structural evolution of biomass char upon pyrolysis as revealed by the Raman spectroscopy and elemental analysis</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 Carbon, 2017, 119:519-521.</w:t>
      </w:r>
      <w:bookmarkEnd w:id="84"/>
    </w:p>
    <w:p>
      <w:pPr>
        <w:numPr>
          <w:ilvl w:val="0"/>
          <w:numId w:val="11"/>
        </w:numPr>
        <w:ind w:left="510" w:hanging="510"/>
        <w:jc w:val="both"/>
        <w:rPr>
          <w:color w:val="000000" w:themeColor="text1"/>
          <w:szCs w:val="24"/>
          <w14:textFill>
            <w14:solidFill>
              <w14:schemeClr w14:val="tx1"/>
            </w14:solidFill>
          </w14:textFill>
        </w:rPr>
      </w:pPr>
      <w:bookmarkStart w:id="85" w:name="_Ref593890353"/>
      <w:bookmarkStart w:id="86" w:name="_Ref931463631"/>
      <w:r>
        <w:rPr>
          <w:color w:val="000000" w:themeColor="text1"/>
          <w:szCs w:val="24"/>
          <w14:textFill>
            <w14:solidFill>
              <w14:schemeClr w14:val="tx1"/>
            </w14:solidFill>
          </w14:textFill>
        </w:rPr>
        <w:t>杨柳,</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吴建雯,</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张书等.</w:t>
      </w:r>
      <w:r>
        <w:rPr>
          <w:rFonts w:hint="default"/>
          <w:color w:val="000000" w:themeColor="text1"/>
          <w:szCs w:val="24"/>
          <w:lang w:val="en-US"/>
          <w14:textFill>
            <w14:solidFill>
              <w14:schemeClr w14:val="tx1"/>
            </w14:solidFill>
          </w14:textFill>
        </w:rPr>
        <w:t xml:space="preserve"> </w:t>
      </w:r>
      <w:r>
        <w:fldChar w:fldCharType="begin"/>
      </w:r>
      <w:r>
        <w:instrText xml:space="preserve"> HYPERLINK "https://kns.cnki.net/kcms2/article/abstract?v=Vof-4b7nxdDunrnbnklaHaYZwBZcNipXgle12_avhy0YOBRAhMlufiXdV6DzHq92XVj8iAFsQC-QJKbGbXKmpBPlVafppzjHB2hl7K15fHBnEUYRtXF3HfqahlzOD-JWKaUDcxEIbDBD3ncf_0soxw==&amp;uniplatform=NZKPT&amp;language=CHS" </w:instrText>
      </w:r>
      <w:r>
        <w:fldChar w:fldCharType="separate"/>
      </w:r>
      <w:r>
        <w:rPr>
          <w:rStyle w:val="37"/>
          <w:color w:val="000000" w:themeColor="text1"/>
          <w:szCs w:val="24"/>
          <w:u w:val="none"/>
          <w14:textFill>
            <w14:solidFill>
              <w14:schemeClr w14:val="tx1"/>
            </w14:solidFill>
          </w14:textFill>
        </w:rPr>
        <w:t>纤维板砂光粉热解半焦中氮的迁移转化特性</w:t>
      </w:r>
      <w:r>
        <w:rPr>
          <w:rStyle w:val="37"/>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林业工程学报, 2022, 7(05):</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113-119.</w:t>
      </w:r>
      <w:bookmarkEnd w:id="85"/>
    </w:p>
    <w:p>
      <w:pPr>
        <w:numPr>
          <w:ilvl w:val="0"/>
          <w:numId w:val="11"/>
        </w:numPr>
        <w:ind w:left="510" w:hanging="510"/>
        <w:jc w:val="both"/>
        <w:rPr>
          <w:color w:val="000000" w:themeColor="text1"/>
          <w:szCs w:val="24"/>
          <w14:textFill>
            <w14:solidFill>
              <w14:schemeClr w14:val="tx1"/>
            </w14:solidFill>
          </w14:textFill>
        </w:rPr>
      </w:pPr>
      <w:bookmarkStart w:id="87" w:name="_Ref1870871352"/>
      <w:r>
        <w:rPr>
          <w:color w:val="000000" w:themeColor="text1"/>
          <w:szCs w:val="24"/>
          <w14:textFill>
            <w14:solidFill>
              <w14:schemeClr w14:val="tx1"/>
            </w14:solidFill>
          </w14:textFill>
        </w:rPr>
        <w:t>Zhan H,</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Yin X L,</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Huang Y Q,</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et al.</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Comparisons of formation characteristics of NO</w:t>
      </w:r>
      <w:r>
        <w:rPr>
          <w:color w:val="000000" w:themeColor="text1"/>
          <w:szCs w:val="24"/>
          <w:vertAlign w:val="subscript"/>
          <w14:textFill>
            <w14:solidFill>
              <w14:schemeClr w14:val="tx1"/>
            </w14:solidFill>
          </w14:textFill>
        </w:rPr>
        <w:t>x</w:t>
      </w:r>
      <w:r>
        <w:rPr>
          <w:color w:val="000000" w:themeColor="text1"/>
          <w:szCs w:val="24"/>
          <w14:textFill>
            <w14:solidFill>
              <w14:schemeClr w14:val="tx1"/>
            </w14:solidFill>
          </w14:textFill>
        </w:rPr>
        <w:t xml:space="preserve"> precursors during pyrolysis of lignocellulosic industrial biomass wastes[J]. Energy</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&amp;</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Fuels, 2017, 31(9):</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9557-9567.</w:t>
      </w:r>
      <w:bookmarkEnd w:id="87"/>
    </w:p>
    <w:p>
      <w:pPr>
        <w:numPr>
          <w:ilvl w:val="0"/>
          <w:numId w:val="11"/>
        </w:numPr>
        <w:ind w:left="510" w:hanging="510"/>
        <w:jc w:val="both"/>
        <w:rPr>
          <w:color w:val="000000" w:themeColor="text1"/>
          <w:szCs w:val="24"/>
          <w14:textFill>
            <w14:solidFill>
              <w14:schemeClr w14:val="tx1"/>
            </w14:solidFill>
          </w14:textFill>
        </w:rPr>
      </w:pPr>
      <w:bookmarkStart w:id="88" w:name="_Ref1361724297"/>
      <w:r>
        <w:rPr>
          <w:color w:val="000000" w:themeColor="text1"/>
          <w:szCs w:val="24"/>
          <w14:textFill>
            <w14:solidFill>
              <w14:schemeClr w14:val="tx1"/>
            </w14:solidFill>
          </w14:textFill>
        </w:rPr>
        <w:t>宫梦, 方阳, 陈伟, 等.</w:t>
      </w:r>
      <w:r>
        <w:fldChar w:fldCharType="begin"/>
      </w:r>
      <w:r>
        <w:instrText xml:space="preserve"> HYPERLINK "https://kns.cnki.net/kcms2/article/abstract?v=Vof-4b7nxdB-Fl-_yaMYU6Xd9s2sy62O1Js5QzpRCFpO2YcPrI4wRqy94oL37o2LtP_zJkzCAUyXqSYd9RKxSy-h98dYcOQQtE8ndF5iVOhE3xmLjL3R5V6OnaO2frvQPJxIFcGGMU7Y0KN-Q0HhjQ==&amp;uniplatform=NZKPT&amp;language=CHS" </w:instrText>
      </w:r>
      <w:r>
        <w:fldChar w:fldCharType="separate"/>
      </w:r>
      <w:r>
        <w:rPr>
          <w:rStyle w:val="52"/>
          <w:color w:val="000000" w:themeColor="text1"/>
          <w:szCs w:val="24"/>
          <w:u w:val="none"/>
          <w14:textFill>
            <w14:solidFill>
              <w14:schemeClr w14:val="tx1"/>
            </w14:solidFill>
          </w14:textFill>
        </w:rPr>
        <w:t>纤维素组分对氨基酸热解的影响</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化工学报, 2020, 71(5):</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2312-2319.</w:t>
      </w:r>
      <w:bookmarkEnd w:id="86"/>
      <w:bookmarkEnd w:id="88"/>
    </w:p>
    <w:p>
      <w:pPr>
        <w:numPr>
          <w:ilvl w:val="0"/>
          <w:numId w:val="11"/>
        </w:numPr>
        <w:ind w:left="510" w:hanging="510"/>
        <w:jc w:val="both"/>
        <w:rPr>
          <w:color w:val="000000" w:themeColor="text1"/>
          <w:szCs w:val="24"/>
          <w14:textFill>
            <w14:solidFill>
              <w14:schemeClr w14:val="tx1"/>
            </w14:solidFill>
          </w14:textFill>
        </w:rPr>
      </w:pPr>
      <w:bookmarkStart w:id="89" w:name="_Ref2086092601"/>
      <w:r>
        <w:rPr>
          <w:color w:val="000000" w:themeColor="text1"/>
          <w:szCs w:val="24"/>
          <w14:textFill>
            <w14:solidFill>
              <w14:schemeClr w14:val="tx1"/>
            </w14:solidFill>
          </w14:textFill>
        </w:rPr>
        <w:t>吴丹焱, 辛善志, 刘标等.</w:t>
      </w:r>
      <w:r>
        <w:rPr>
          <w:rFonts w:hint="default"/>
          <w:color w:val="000000" w:themeColor="text1"/>
          <w:szCs w:val="24"/>
          <w:lang w:val="en-US"/>
          <w14:textFill>
            <w14:solidFill>
              <w14:schemeClr w14:val="tx1"/>
            </w14:solidFill>
          </w14:textFill>
        </w:rPr>
        <w:t xml:space="preserve"> </w:t>
      </w:r>
      <w:r>
        <w:fldChar w:fldCharType="begin"/>
      </w:r>
      <w:r>
        <w:instrText xml:space="preserve"> HYPERLINK "https://kns.cnki.net/kcms2/article/abstract?v=Vof-4b7nxdB9hNxYmIikeYYbqCY_QmANaKHYPZLg79vlBg2eEz8xDNaXF1bo79ypOgkwf4oAnAGOTn8e-Om9GIXmI_HY6S8lBxuO6lgyNvP7CuUQmrSl9sSyxSI8kZUAofUAWsI53XYJkJLcEQo-mw==&amp;uniplatform=NZKPT&amp;language=CHS" </w:instrText>
      </w:r>
      <w:r>
        <w:fldChar w:fldCharType="separate"/>
      </w:r>
      <w:r>
        <w:rPr>
          <w:rStyle w:val="52"/>
          <w:color w:val="000000" w:themeColor="text1"/>
          <w:szCs w:val="24"/>
          <w:u w:val="none"/>
          <w14:textFill>
            <w14:solidFill>
              <w14:schemeClr w14:val="tx1"/>
            </w14:solidFill>
          </w14:textFill>
        </w:rPr>
        <w:t>基于木质素部分脱除及其含量对生物质热解特性的影响</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[J]. 农业工程学报, 2018,</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34(1):</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193-197.</w:t>
      </w:r>
      <w:bookmarkEnd w:id="89"/>
    </w:p>
    <w:p>
      <w:pPr>
        <w:numPr>
          <w:ilvl w:val="0"/>
          <w:numId w:val="11"/>
        </w:numPr>
        <w:ind w:left="510" w:hanging="510"/>
        <w:jc w:val="both"/>
        <w:rPr>
          <w:color w:val="000000" w:themeColor="text1"/>
          <w:szCs w:val="24"/>
          <w14:textFill>
            <w14:solidFill>
              <w14:schemeClr w14:val="tx1"/>
            </w14:solidFill>
          </w14:textFill>
        </w:rPr>
      </w:pPr>
      <w:bookmarkStart w:id="90" w:name="_Ref269060990"/>
      <w:r>
        <w:rPr>
          <w:color w:val="000000" w:themeColor="text1"/>
          <w:szCs w:val="24"/>
          <w14:textFill>
            <w14:solidFill>
              <w14:schemeClr w14:val="tx1"/>
            </w14:solidFill>
          </w14:textFill>
        </w:rPr>
        <w:t>周建强.</w:t>
      </w:r>
      <w:r>
        <w:rPr>
          <w:rFonts w:hint="default"/>
          <w:color w:val="000000" w:themeColor="text1"/>
          <w:szCs w:val="24"/>
          <w:lang w:val="en-US"/>
          <w14:textFill>
            <w14:solidFill>
              <w14:schemeClr w14:val="tx1"/>
            </w14:solidFill>
          </w14:textFill>
        </w:rPr>
        <w:t xml:space="preserve"> </w:t>
      </w:r>
      <w:r>
        <w:fldChar w:fldCharType="begin"/>
      </w:r>
      <w:r>
        <w:instrText xml:space="preserve"> HYPERLINK "https://kns.cnki.net/kcms2/article/abstract?v=Vof-4b7nxdBqL2FTDYymhm8ydyUGjk4ApJ0bBCO7XsZHXYhnb98OfiIM043vJrn0ccw2DsGLSo_kcgaCtlumr6IUV5fu1GNsP5dqscN0uSxl_u1sMkIfAVmnmQXxfZCLdvuPFd_we4RXE0Pk6opX_w==&amp;uniplatform=NZKPT&amp;language=CHS" </w:instrText>
      </w:r>
      <w:r>
        <w:fldChar w:fldCharType="separate"/>
      </w:r>
      <w:r>
        <w:rPr>
          <w:rStyle w:val="52"/>
          <w:color w:val="000000" w:themeColor="text1"/>
          <w:szCs w:val="24"/>
          <w:u w:val="none"/>
          <w14:textFill>
            <w14:solidFill>
              <w14:schemeClr w14:val="tx1"/>
            </w14:solidFill>
          </w14:textFill>
        </w:rPr>
        <w:t>麦秆热解过程中有机氮转化机理研究</w:t>
      </w:r>
      <w:r>
        <w:rPr>
          <w:rStyle w:val="52"/>
          <w:color w:val="000000" w:themeColor="text1"/>
          <w:szCs w:val="24"/>
          <w:u w:val="none"/>
          <w14:textFill>
            <w14:solidFill>
              <w14:schemeClr w14:val="tx1"/>
            </w14:solidFill>
          </w14:textFill>
        </w:rPr>
        <w:fldChar w:fldCharType="end"/>
      </w:r>
      <w:r>
        <w:rPr>
          <w:color w:val="000000" w:themeColor="text1"/>
          <w:szCs w:val="24"/>
          <w14:textFill>
            <w14:solidFill>
              <w14:schemeClr w14:val="tx1"/>
            </w14:solidFill>
          </w14:textFill>
        </w:rPr>
        <w:t>[D].</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北京: 华北电力大学, 2019.</w:t>
      </w:r>
      <w:bookmarkEnd w:id="90"/>
    </w:p>
    <w:p>
      <w:pPr>
        <w:numPr>
          <w:ilvl w:val="0"/>
          <w:numId w:val="11"/>
        </w:numPr>
        <w:ind w:left="510" w:hanging="510"/>
        <w:jc w:val="both"/>
        <w:rPr>
          <w:color w:val="000000" w:themeColor="text1"/>
          <w:szCs w:val="24"/>
          <w14:textFill>
            <w14:solidFill>
              <w14:schemeClr w14:val="tx1"/>
            </w14:solidFill>
          </w14:textFill>
        </w:rPr>
      </w:pPr>
      <w:bookmarkStart w:id="91" w:name="_Ref2017668779"/>
      <w:r>
        <w:rPr>
          <w:color w:val="000000" w:themeColor="text1"/>
          <w:szCs w:val="24"/>
          <w14:textFill>
            <w14:solidFill>
              <w14:schemeClr w14:val="tx1"/>
            </w14:solidFill>
          </w14:textFill>
        </w:rPr>
        <w:t>Sandile F,</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Jianqiang C.</w:t>
      </w:r>
      <w:r>
        <w:rPr>
          <w:rFonts w:hint="eastAsia"/>
          <w:color w:val="000000" w:themeColor="text1"/>
          <w:szCs w:val="24"/>
          <w:lang w:val="en-US" w:eastAsia="zh-CN"/>
          <w14:textFill>
            <w14:solidFill>
              <w14:schemeClr w14:val="tx1"/>
            </w14:solidFill>
          </w14:textFill>
        </w:rPr>
        <w:t xml:space="preserve"> </w:t>
      </w:r>
      <w:r>
        <w:fldChar w:fldCharType="begin"/>
      </w:r>
      <w:r>
        <w:instrText xml:space="preserve"> HYPERLINK "https://www.sciencedirect.com/science/article/pii/S1385894722064853" </w:instrText>
      </w:r>
      <w:r>
        <w:fldChar w:fldCharType="separate"/>
      </w:r>
      <w:r>
        <w:rPr>
          <w:rStyle w:val="52"/>
          <w:color w:val="auto"/>
          <w:szCs w:val="24"/>
          <w:u w:val="none"/>
        </w:rPr>
        <w:t>A critical review on co-hydrothermal carbonization of biomass and fossil-based feedstocks for cleaner solid fuel production:</w:t>
      </w:r>
      <w:r>
        <w:rPr>
          <w:rStyle w:val="52"/>
          <w:rFonts w:hint="eastAsia"/>
          <w:color w:val="auto"/>
          <w:szCs w:val="24"/>
          <w:u w:val="none"/>
          <w:lang w:val="en-US" w:eastAsia="zh-CN"/>
        </w:rPr>
        <w:t xml:space="preserve"> </w:t>
      </w:r>
      <w:r>
        <w:rPr>
          <w:rStyle w:val="52"/>
          <w:color w:val="auto"/>
          <w:szCs w:val="24"/>
          <w:u w:val="none"/>
        </w:rPr>
        <w:t>Synergistic effects and environmental benefits</w:t>
      </w:r>
      <w:r>
        <w:rPr>
          <w:rStyle w:val="52"/>
          <w:color w:val="auto"/>
          <w:szCs w:val="24"/>
          <w:u w:val="none"/>
        </w:rPr>
        <w:fldChar w:fldCharType="end"/>
      </w:r>
      <w:r>
        <w:rPr>
          <w:rFonts w:hint="eastAsia"/>
          <w:szCs w:val="24"/>
        </w:rPr>
        <w:t xml:space="preserve"> </w:t>
      </w:r>
      <w:r>
        <w:rPr>
          <w:color w:val="000000" w:themeColor="text1"/>
          <w:szCs w:val="24"/>
          <w14:textFill>
            <w14:solidFill>
              <w14:schemeClr w14:val="tx1"/>
            </w14:solidFill>
          </w14:textFill>
        </w:rPr>
        <w:t>[J].</w:t>
      </w:r>
      <w:r>
        <w:rPr>
          <w:rFonts w:hint="eastAsia"/>
          <w:color w:val="000000" w:themeColor="text1"/>
          <w:szCs w:val="24"/>
          <w14:textFill>
            <w14:solidFill>
              <w14:schemeClr w14:val="tx1"/>
            </w14:solidFill>
          </w14:textFill>
        </w:rPr>
        <w:t xml:space="preserve"> </w:t>
      </w:r>
      <w:r>
        <w:rPr>
          <w:color w:val="000000" w:themeColor="text1"/>
          <w:szCs w:val="24"/>
          <w14:textFill>
            <w14:solidFill>
              <w14:schemeClr w14:val="tx1"/>
            </w14:solidFill>
          </w14:textFill>
        </w:rPr>
        <w:t>Chemical Engineering Journal,</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2023,</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457</w:t>
      </w:r>
      <w:bookmarkEnd w:id="91"/>
      <w:r>
        <w:rPr>
          <w:color w:val="000000" w:themeColor="text1"/>
          <w:szCs w:val="24"/>
          <w14:textFill>
            <w14:solidFill>
              <w14:schemeClr w14:val="tx1"/>
            </w14:solidFill>
          </w14:textFill>
        </w:rPr>
        <w:t>.</w:t>
      </w:r>
    </w:p>
    <w:p>
      <w:pPr>
        <w:numPr>
          <w:ilvl w:val="0"/>
          <w:numId w:val="11"/>
        </w:numPr>
        <w:ind w:left="510" w:hanging="510"/>
        <w:jc w:val="both"/>
        <w:rPr>
          <w:color w:val="000000" w:themeColor="text1"/>
          <w:szCs w:val="24"/>
          <w14:textFill>
            <w14:solidFill>
              <w14:schemeClr w14:val="tx1"/>
            </w14:solidFill>
          </w14:textFill>
        </w:rPr>
      </w:pPr>
      <w:bookmarkStart w:id="92" w:name="_Ref66733532"/>
      <w:r>
        <w:rPr>
          <w:color w:val="000000" w:themeColor="text1"/>
          <w:szCs w:val="24"/>
          <w14:textFill>
            <w14:solidFill>
              <w14:schemeClr w14:val="tx1"/>
            </w14:solidFill>
          </w14:textFill>
        </w:rPr>
        <w:t>吴俊全,</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迟铭书,</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宋晶攀,</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等.</w:t>
      </w:r>
      <w:r>
        <w:rPr>
          <w:rFonts w:hint="default"/>
          <w:color w:val="000000" w:themeColor="text1"/>
          <w:szCs w:val="24"/>
          <w:lang w:val="en-US"/>
          <w14:textFill>
            <w14:solidFill>
              <w14:schemeClr w14:val="tx1"/>
            </w14:solidFill>
          </w14:textFill>
        </w:rPr>
        <w:t xml:space="preserve"> </w:t>
      </w:r>
      <w:r>
        <w:fldChar w:fldCharType="begin"/>
      </w:r>
      <w:r>
        <w:instrText xml:space="preserve"> HYPERLINK "https://kns.cnki.net/kcms2/article/abstract?v=YoFA4grnCX4E1E7sko9DVARQWIeUvJuOdtTZXKft2r261Yzy-9hV-RS1-HThlOqmTXX1yBuNTPO85b0eNWzd6JWQu-dRsZD0xsdoByOe3DPHaxkKASyq4G0ZEQgZPOjMtAvx_yaRD9g=&amp;uniplatform=NZKPT&amp;language=CHS" </w:instrText>
      </w:r>
      <w:r>
        <w:fldChar w:fldCharType="separate"/>
      </w:r>
      <w:r>
        <w:rPr>
          <w:rStyle w:val="52"/>
          <w:color w:val="auto"/>
          <w:szCs w:val="24"/>
          <w:u w:val="none"/>
        </w:rPr>
        <w:t>反应温度对草本类生物质水热碳化产物燃料品质的影响及其生成机理</w:t>
      </w:r>
      <w:r>
        <w:rPr>
          <w:rStyle w:val="52"/>
          <w:color w:val="auto"/>
          <w:szCs w:val="24"/>
          <w:u w:val="none"/>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吉林建筑大学学报,</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2024,</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41(01):</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34-38.</w:t>
      </w:r>
      <w:bookmarkEnd w:id="92"/>
    </w:p>
    <w:p>
      <w:pPr>
        <w:numPr>
          <w:ilvl w:val="0"/>
          <w:numId w:val="11"/>
        </w:numPr>
        <w:ind w:left="510" w:hanging="510"/>
        <w:jc w:val="both"/>
        <w:rPr>
          <w:color w:val="000000" w:themeColor="text1"/>
          <w:szCs w:val="24"/>
          <w14:textFill>
            <w14:solidFill>
              <w14:schemeClr w14:val="tx1"/>
            </w14:solidFill>
          </w14:textFill>
        </w:rPr>
      </w:pPr>
      <w:bookmarkStart w:id="93" w:name="_Ref975248460"/>
      <w:bookmarkStart w:id="94" w:name="_Ref379308656"/>
      <w:r>
        <w:rPr>
          <w:color w:val="000000" w:themeColor="text1"/>
          <w:szCs w:val="24"/>
          <w14:textFill>
            <w14:solidFill>
              <w14:schemeClr w14:val="tx1"/>
            </w14:solidFill>
          </w14:textFill>
        </w:rPr>
        <w:t>Leng L,</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Yang L,</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Leng S,</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et al.</w:t>
      </w:r>
      <w:r>
        <w:rPr>
          <w:rFonts w:hint="eastAsia"/>
          <w:color w:val="000000" w:themeColor="text1"/>
          <w:szCs w:val="24"/>
          <w:lang w:val="en-US" w:eastAsia="zh-CN"/>
          <w14:textFill>
            <w14:solidFill>
              <w14:schemeClr w14:val="tx1"/>
            </w14:solidFill>
          </w14:textFill>
        </w:rPr>
        <w:t xml:space="preserve"> </w:t>
      </w:r>
      <w:r>
        <w:rPr>
          <w:color w:val="000000" w:themeColor="text1"/>
          <w:szCs w:val="24"/>
          <w14:textFill>
            <w14:solidFill>
              <w14:schemeClr w14:val="tx1"/>
            </w14:solidFill>
          </w14:textFill>
        </w:rPr>
        <w:t>A review on nitrogen transformation in hydrochar during hydrothermal carbonization of biomass containing nitrogen[J].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Science of The Total Environment,</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2021,</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756:</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 xml:space="preserve">143679. </w:t>
      </w:r>
      <w:bookmarkEnd w:id="93"/>
    </w:p>
    <w:p>
      <w:pPr>
        <w:numPr>
          <w:ilvl w:val="0"/>
          <w:numId w:val="11"/>
        </w:numPr>
        <w:ind w:left="510" w:hanging="510"/>
        <w:jc w:val="both"/>
        <w:rPr>
          <w:color w:val="000000" w:themeColor="text1"/>
          <w:szCs w:val="24"/>
          <w14:textFill>
            <w14:solidFill>
              <w14:schemeClr w14:val="tx1"/>
            </w14:solidFill>
          </w14:textFill>
        </w:rPr>
      </w:pPr>
      <w:bookmarkStart w:id="95" w:name="_Ref1858149727"/>
      <w:r>
        <w:rPr>
          <w:color w:val="000000" w:themeColor="text1"/>
          <w:szCs w:val="24"/>
          <w14:textFill>
            <w14:solidFill>
              <w14:schemeClr w14:val="tx1"/>
            </w14:solidFill>
          </w14:textFill>
        </w:rPr>
        <w:t>汪锦川,</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徐德良,</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卫俊涛,</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等.</w:t>
      </w:r>
      <w:r>
        <w:rPr>
          <w:rFonts w:hint="default"/>
          <w:color w:val="000000" w:themeColor="text1"/>
          <w:szCs w:val="24"/>
          <w:lang w:val="en-US"/>
          <w14:textFill>
            <w14:solidFill>
              <w14:schemeClr w14:val="tx1"/>
            </w14:solidFill>
          </w14:textFill>
        </w:rPr>
        <w:t xml:space="preserve"> </w:t>
      </w:r>
      <w:r>
        <w:fldChar w:fldCharType="begin"/>
      </w:r>
      <w:r>
        <w:instrText xml:space="preserve"> HYPERLINK "https://kns.cnki.net/kcms2/article/abstract?v=Skeo7MzZydYNWAi9NWkAeFVoFH7StauoFOHhUrb4ae-S3GMrcAB-3mLPTJh-J-FXWzcuZA4d6hnZ2CxzposTJ1_1fGdeMgzEX8inDkkI7cST1jpllMk01tyYGXgdbyD5Qbm67PnfVGsMwZmzy1vhBQ==&amp;uniplatform=NZKPT&amp;language=CHS" </w:instrText>
      </w:r>
      <w:r>
        <w:fldChar w:fldCharType="separate"/>
      </w:r>
      <w:r>
        <w:rPr>
          <w:rStyle w:val="37"/>
          <w:color w:val="auto"/>
          <w:szCs w:val="24"/>
          <w:u w:val="none"/>
        </w:rPr>
        <w:t>纤维板水热转化氮在固液两相迁移与转化特性</w:t>
      </w:r>
      <w:r>
        <w:rPr>
          <w:rStyle w:val="37"/>
          <w:color w:val="auto"/>
          <w:szCs w:val="24"/>
          <w:u w:val="none"/>
        </w:rPr>
        <w:fldChar w:fldCharType="end"/>
      </w:r>
      <w:r>
        <w:rPr>
          <w:color w:val="000000" w:themeColor="text1"/>
          <w:szCs w:val="24"/>
          <w14:textFill>
            <w14:solidFill>
              <w14:schemeClr w14:val="tx1"/>
            </w14:solidFill>
          </w14:textFill>
        </w:rPr>
        <w:t>[J].</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煤炭学报,</w:t>
      </w:r>
      <w:r>
        <w:rPr>
          <w:rFonts w:hint="eastAsia"/>
          <w:color w:val="000000" w:themeColor="text1"/>
          <w:szCs w:val="24"/>
          <w14:textFill>
            <w14:solidFill>
              <w14:schemeClr w14:val="tx1"/>
            </w14:solidFill>
          </w14:textFill>
        </w:rPr>
        <w:t xml:space="preserve"> </w:t>
      </w:r>
      <w:r>
        <w:rPr>
          <w:color w:val="000000" w:themeColor="text1"/>
          <w:szCs w:val="24"/>
          <w14:textFill>
            <w14:solidFill>
              <w14:schemeClr w14:val="tx1"/>
            </w14:solidFill>
          </w14:textFill>
        </w:rPr>
        <w:t>2023,</w:t>
      </w:r>
      <w:r>
        <w:rPr>
          <w:rFonts w:hint="eastAsia"/>
          <w:color w:val="000000" w:themeColor="text1"/>
          <w:szCs w:val="24"/>
          <w14:textFill>
            <w14:solidFill>
              <w14:schemeClr w14:val="tx1"/>
            </w14:solidFill>
          </w14:textFill>
        </w:rPr>
        <w:t xml:space="preserve"> </w:t>
      </w:r>
      <w:r>
        <w:rPr>
          <w:color w:val="000000" w:themeColor="text1"/>
          <w:szCs w:val="24"/>
          <w14:textFill>
            <w14:solidFill>
              <w14:schemeClr w14:val="tx1"/>
            </w14:solidFill>
          </w14:textFill>
        </w:rPr>
        <w:t>48(06):</w:t>
      </w:r>
      <w:r>
        <w:rPr>
          <w:rFonts w:hint="default"/>
          <w:color w:val="000000" w:themeColor="text1"/>
          <w:szCs w:val="24"/>
          <w:lang w:val="en-US"/>
          <w14:textFill>
            <w14:solidFill>
              <w14:schemeClr w14:val="tx1"/>
            </w14:solidFill>
          </w14:textFill>
        </w:rPr>
        <w:t xml:space="preserve"> </w:t>
      </w:r>
      <w:r>
        <w:rPr>
          <w:color w:val="000000" w:themeColor="text1"/>
          <w:szCs w:val="24"/>
          <w14:textFill>
            <w14:solidFill>
              <w14:schemeClr w14:val="tx1"/>
            </w14:solidFill>
          </w14:textFill>
        </w:rPr>
        <w:t>2306-2314.</w:t>
      </w:r>
      <w:bookmarkEnd w:id="94"/>
      <w:bookmarkEnd w:id="95"/>
    </w:p>
    <w:p>
      <w:pPr>
        <w:numPr>
          <w:ilvl w:val="0"/>
          <w:numId w:val="11"/>
        </w:numPr>
        <w:ind w:left="510" w:hanging="510"/>
        <w:jc w:val="both"/>
        <w:rPr>
          <w:szCs w:val="24"/>
        </w:rPr>
      </w:pPr>
      <w:bookmarkStart w:id="96" w:name="_Ref344554991"/>
      <w:r>
        <w:rPr>
          <w:szCs w:val="24"/>
        </w:rPr>
        <w:t>Kang S,</w:t>
      </w:r>
      <w:r>
        <w:rPr>
          <w:rFonts w:hint="default"/>
          <w:szCs w:val="24"/>
          <w:lang w:val="en-US"/>
        </w:rPr>
        <w:t xml:space="preserve"> </w:t>
      </w:r>
      <w:r>
        <w:rPr>
          <w:szCs w:val="24"/>
        </w:rPr>
        <w:t>Li X,</w:t>
      </w:r>
      <w:r>
        <w:rPr>
          <w:rFonts w:hint="default"/>
          <w:szCs w:val="24"/>
          <w:lang w:val="en-US"/>
        </w:rPr>
        <w:t xml:space="preserve"> </w:t>
      </w:r>
      <w:r>
        <w:rPr>
          <w:szCs w:val="24"/>
        </w:rPr>
        <w:t>Fan J,</w:t>
      </w:r>
      <w:r>
        <w:rPr>
          <w:rFonts w:hint="default"/>
          <w:szCs w:val="24"/>
          <w:lang w:val="en-US"/>
        </w:rPr>
        <w:t xml:space="preserve"> </w:t>
      </w:r>
      <w:r>
        <w:rPr>
          <w:szCs w:val="24"/>
        </w:rPr>
        <w:t>et al.</w:t>
      </w:r>
      <w:r>
        <w:rPr>
          <w:rFonts w:hint="default"/>
          <w:szCs w:val="24"/>
          <w:lang w:val="en-US"/>
        </w:rPr>
        <w:t xml:space="preserve"> </w:t>
      </w:r>
      <w:r>
        <w:fldChar w:fldCharType="begin"/>
      </w:r>
      <w:r>
        <w:instrText xml:space="preserve"> HYPERLINK "https://pubs.acs.org/doi/full/10.1021/ie300565d" </w:instrText>
      </w:r>
      <w:r>
        <w:fldChar w:fldCharType="separate"/>
      </w:r>
      <w:r>
        <w:rPr>
          <w:rStyle w:val="52"/>
          <w:color w:val="auto"/>
          <w:szCs w:val="24"/>
          <w:u w:val="none"/>
        </w:rPr>
        <w:t>Characterization of hydrochars produced by hydrothermal carbonization of lignin,</w:t>
      </w:r>
      <w:r>
        <w:rPr>
          <w:rStyle w:val="52"/>
          <w:rFonts w:hint="default"/>
          <w:color w:val="auto"/>
          <w:szCs w:val="24"/>
          <w:u w:val="none"/>
          <w:lang w:val="en-US"/>
        </w:rPr>
        <w:t xml:space="preserve"> </w:t>
      </w:r>
      <w:r>
        <w:rPr>
          <w:rStyle w:val="52"/>
          <w:color w:val="auto"/>
          <w:szCs w:val="24"/>
          <w:u w:val="none"/>
        </w:rPr>
        <w:t>cellulose,</w:t>
      </w:r>
      <w:r>
        <w:rPr>
          <w:rStyle w:val="52"/>
          <w:rFonts w:hint="default"/>
          <w:color w:val="auto"/>
          <w:szCs w:val="24"/>
          <w:u w:val="none"/>
          <w:lang w:val="en-US"/>
        </w:rPr>
        <w:t xml:space="preserve"> </w:t>
      </w:r>
      <w:r>
        <w:rPr>
          <w:rStyle w:val="52"/>
          <w:color w:val="auto"/>
          <w:szCs w:val="24"/>
          <w:u w:val="none"/>
        </w:rPr>
        <w:t>D-xylose,</w:t>
      </w:r>
      <w:r>
        <w:rPr>
          <w:rStyle w:val="52"/>
          <w:rFonts w:hint="default"/>
          <w:color w:val="auto"/>
          <w:szCs w:val="24"/>
          <w:u w:val="none"/>
          <w:lang w:val="en-US"/>
        </w:rPr>
        <w:t xml:space="preserve"> </w:t>
      </w:r>
      <w:r>
        <w:rPr>
          <w:rStyle w:val="52"/>
          <w:color w:val="auto"/>
          <w:szCs w:val="24"/>
          <w:u w:val="none"/>
        </w:rPr>
        <w:t>and wood meal</w:t>
      </w:r>
      <w:r>
        <w:rPr>
          <w:rStyle w:val="52"/>
          <w:color w:val="auto"/>
          <w:szCs w:val="24"/>
          <w:u w:val="none"/>
        </w:rPr>
        <w:fldChar w:fldCharType="end"/>
      </w:r>
      <w:r>
        <w:rPr>
          <w:szCs w:val="24"/>
        </w:rPr>
        <w:t>[J].</w:t>
      </w:r>
      <w:r>
        <w:rPr>
          <w:rFonts w:hint="default"/>
          <w:szCs w:val="24"/>
          <w:lang w:val="en-US"/>
        </w:rPr>
        <w:t xml:space="preserve"> </w:t>
      </w:r>
      <w:r>
        <w:rPr>
          <w:szCs w:val="24"/>
        </w:rPr>
        <w:t>Industrial</w:t>
      </w:r>
      <w:r>
        <w:rPr>
          <w:rFonts w:hint="default"/>
          <w:szCs w:val="24"/>
          <w:lang w:val="en-US"/>
        </w:rPr>
        <w:t xml:space="preserve"> </w:t>
      </w:r>
      <w:r>
        <w:rPr>
          <w:szCs w:val="24"/>
        </w:rPr>
        <w:t>&amp;</w:t>
      </w:r>
      <w:r>
        <w:rPr>
          <w:rFonts w:hint="default"/>
          <w:szCs w:val="24"/>
          <w:lang w:val="en-US"/>
        </w:rPr>
        <w:t xml:space="preserve"> </w:t>
      </w:r>
      <w:r>
        <w:rPr>
          <w:szCs w:val="24"/>
        </w:rPr>
        <w:t>Engineering Chemistry Research,</w:t>
      </w:r>
      <w:r>
        <w:rPr>
          <w:rFonts w:hint="default"/>
          <w:szCs w:val="24"/>
          <w:lang w:val="en-US"/>
        </w:rPr>
        <w:t xml:space="preserve"> </w:t>
      </w:r>
      <w:r>
        <w:rPr>
          <w:szCs w:val="24"/>
        </w:rPr>
        <w:t>2012,</w:t>
      </w:r>
      <w:r>
        <w:rPr>
          <w:rFonts w:hint="default"/>
          <w:szCs w:val="24"/>
          <w:lang w:val="en-US"/>
        </w:rPr>
        <w:t xml:space="preserve"> </w:t>
      </w:r>
      <w:r>
        <w:rPr>
          <w:szCs w:val="24"/>
        </w:rPr>
        <w:t>51(26):</w:t>
      </w:r>
      <w:r>
        <w:rPr>
          <w:rFonts w:hint="default"/>
          <w:szCs w:val="24"/>
          <w:lang w:val="en-US"/>
        </w:rPr>
        <w:t xml:space="preserve"> </w:t>
      </w:r>
      <w:r>
        <w:rPr>
          <w:szCs w:val="24"/>
        </w:rPr>
        <w:t>9023-9031.</w:t>
      </w:r>
      <w:bookmarkEnd w:id="96"/>
    </w:p>
    <w:p>
      <w:pPr>
        <w:numPr>
          <w:ilvl w:val="0"/>
          <w:numId w:val="11"/>
        </w:numPr>
        <w:ind w:left="510" w:hanging="510"/>
        <w:jc w:val="both"/>
        <w:rPr>
          <w:szCs w:val="24"/>
        </w:rPr>
      </w:pPr>
      <w:bookmarkStart w:id="97" w:name="_Ref1996914718"/>
      <w:r>
        <w:rPr>
          <w:szCs w:val="24"/>
        </w:rPr>
        <w:t>Leng S,</w:t>
      </w:r>
      <w:r>
        <w:rPr>
          <w:rFonts w:hint="default"/>
          <w:szCs w:val="24"/>
          <w:lang w:val="en-US"/>
        </w:rPr>
        <w:t xml:space="preserve"> </w:t>
      </w:r>
      <w:r>
        <w:rPr>
          <w:szCs w:val="24"/>
        </w:rPr>
        <w:t>Leng L,</w:t>
      </w:r>
      <w:r>
        <w:rPr>
          <w:rFonts w:hint="default"/>
          <w:szCs w:val="24"/>
          <w:lang w:val="en-US"/>
        </w:rPr>
        <w:t xml:space="preserve"> </w:t>
      </w:r>
      <w:r>
        <w:rPr>
          <w:szCs w:val="24"/>
        </w:rPr>
        <w:t>Chen L,</w:t>
      </w:r>
      <w:r>
        <w:rPr>
          <w:rFonts w:hint="default"/>
          <w:szCs w:val="24"/>
          <w:lang w:val="en-US"/>
        </w:rPr>
        <w:t xml:space="preserve"> </w:t>
      </w:r>
      <w:r>
        <w:rPr>
          <w:szCs w:val="24"/>
        </w:rPr>
        <w:t>et al.</w:t>
      </w:r>
      <w:r>
        <w:rPr>
          <w:rFonts w:hint="default"/>
          <w:szCs w:val="24"/>
          <w:lang w:val="en-US"/>
        </w:rPr>
        <w:t xml:space="preserve"> </w:t>
      </w:r>
      <w:r>
        <w:fldChar w:fldCharType="begin"/>
      </w:r>
      <w:r>
        <w:instrText xml:space="preserve"> HYPERLINK "https://www.sciencedirect.com/science/article/pii/S0960852420313535" </w:instrText>
      </w:r>
      <w:r>
        <w:fldChar w:fldCharType="separate"/>
      </w:r>
      <w:r>
        <w:rPr>
          <w:rStyle w:val="52"/>
          <w:color w:val="auto"/>
          <w:szCs w:val="24"/>
          <w:u w:val="none"/>
        </w:rPr>
        <w:t>The effect of aqueous phase recirculation on hydrothermal liquefaction/carbonization of biomass:</w:t>
      </w:r>
      <w:r>
        <w:rPr>
          <w:rStyle w:val="52"/>
          <w:rFonts w:hint="default"/>
          <w:color w:val="auto"/>
          <w:szCs w:val="24"/>
          <w:u w:val="none"/>
          <w:lang w:val="en-US"/>
        </w:rPr>
        <w:t xml:space="preserve"> </w:t>
      </w:r>
      <w:r>
        <w:rPr>
          <w:rStyle w:val="52"/>
          <w:color w:val="auto"/>
          <w:szCs w:val="24"/>
          <w:u w:val="none"/>
        </w:rPr>
        <w:t>A review</w:t>
      </w:r>
      <w:r>
        <w:rPr>
          <w:rStyle w:val="52"/>
          <w:color w:val="auto"/>
          <w:szCs w:val="24"/>
          <w:u w:val="none"/>
        </w:rPr>
        <w:fldChar w:fldCharType="end"/>
      </w:r>
      <w:r>
        <w:rPr>
          <w:szCs w:val="24"/>
        </w:rPr>
        <w:t>[J].</w:t>
      </w:r>
      <w:r>
        <w:rPr>
          <w:rFonts w:hint="default"/>
          <w:szCs w:val="24"/>
          <w:lang w:val="en-US"/>
        </w:rPr>
        <w:t xml:space="preserve"> </w:t>
      </w:r>
      <w:r>
        <w:rPr>
          <w:szCs w:val="24"/>
        </w:rPr>
        <w:t>Bioresource Technology,</w:t>
      </w:r>
      <w:r>
        <w:rPr>
          <w:rFonts w:hint="default"/>
          <w:szCs w:val="24"/>
          <w:lang w:val="en-US"/>
        </w:rPr>
        <w:t xml:space="preserve"> </w:t>
      </w:r>
      <w:r>
        <w:rPr>
          <w:szCs w:val="24"/>
        </w:rPr>
        <w:t>2020,</w:t>
      </w:r>
      <w:r>
        <w:rPr>
          <w:rFonts w:hint="default"/>
          <w:szCs w:val="24"/>
          <w:lang w:val="en-US"/>
        </w:rPr>
        <w:t xml:space="preserve"> </w:t>
      </w:r>
      <w:r>
        <w:rPr>
          <w:szCs w:val="24"/>
        </w:rPr>
        <w:t>318:</w:t>
      </w:r>
      <w:r>
        <w:rPr>
          <w:rFonts w:hint="default"/>
          <w:szCs w:val="24"/>
          <w:lang w:val="en-US"/>
        </w:rPr>
        <w:t xml:space="preserve"> </w:t>
      </w:r>
      <w:r>
        <w:rPr>
          <w:szCs w:val="24"/>
        </w:rPr>
        <w:t>124081.</w:t>
      </w:r>
      <w:bookmarkEnd w:id="97"/>
    </w:p>
    <w:p>
      <w:pPr>
        <w:numPr>
          <w:ilvl w:val="0"/>
          <w:numId w:val="11"/>
        </w:numPr>
        <w:ind w:left="510" w:hanging="510"/>
        <w:jc w:val="both"/>
        <w:rPr>
          <w:szCs w:val="24"/>
        </w:rPr>
      </w:pPr>
      <w:bookmarkStart w:id="98" w:name="_Ref1079532396"/>
      <w:r>
        <w:rPr>
          <w:szCs w:val="24"/>
        </w:rPr>
        <w:t>Lubis M A R,</w:t>
      </w:r>
      <w:r>
        <w:rPr>
          <w:rFonts w:hint="default"/>
          <w:szCs w:val="24"/>
          <w:lang w:val="en-US"/>
        </w:rPr>
        <w:t xml:space="preserve"> </w:t>
      </w:r>
      <w:r>
        <w:rPr>
          <w:szCs w:val="24"/>
        </w:rPr>
        <w:t>Park B-D.</w:t>
      </w:r>
      <w:r>
        <w:rPr>
          <w:rFonts w:hint="default"/>
          <w:szCs w:val="24"/>
          <w:lang w:val="en-US"/>
        </w:rPr>
        <w:t xml:space="preserve"> </w:t>
      </w:r>
      <w:r>
        <w:fldChar w:fldCharType="begin"/>
      </w:r>
      <w:r>
        <w:instrText xml:space="preserve"> HYPERLINK "https://www.degruyter.com/document/doi/10.1515/hf-2018-0010/html" </w:instrText>
      </w:r>
      <w:r>
        <w:fldChar w:fldCharType="separate"/>
      </w:r>
      <w:r>
        <w:rPr>
          <w:rStyle w:val="37"/>
          <w:color w:val="auto"/>
          <w:szCs w:val="24"/>
          <w:u w:val="none"/>
        </w:rPr>
        <w:t>Analysis of the hydrolysates from cured and uncured urea-formaldehyde(UF) resins with two F/U mole</w:t>
      </w:r>
      <w:r>
        <w:rPr>
          <w:rStyle w:val="37"/>
          <w:rFonts w:hint="eastAsia"/>
          <w:color w:val="auto"/>
          <w:szCs w:val="24"/>
          <w:u w:val="none"/>
        </w:rPr>
        <w:t xml:space="preserve"> </w:t>
      </w:r>
      <w:r>
        <w:rPr>
          <w:rStyle w:val="37"/>
          <w:color w:val="auto"/>
          <w:szCs w:val="24"/>
          <w:u w:val="none"/>
        </w:rPr>
        <w:t>ratios</w:t>
      </w:r>
      <w:r>
        <w:rPr>
          <w:rStyle w:val="37"/>
          <w:color w:val="auto"/>
          <w:szCs w:val="24"/>
          <w:u w:val="none"/>
        </w:rPr>
        <w:fldChar w:fldCharType="end"/>
      </w:r>
      <w:r>
        <w:rPr>
          <w:rFonts w:hint="eastAsia"/>
          <w:szCs w:val="24"/>
        </w:rPr>
        <w:t xml:space="preserve"> </w:t>
      </w:r>
      <w:r>
        <w:rPr>
          <w:szCs w:val="24"/>
        </w:rPr>
        <w:t>[J].</w:t>
      </w:r>
      <w:r>
        <w:rPr>
          <w:rFonts w:hint="default"/>
          <w:szCs w:val="24"/>
          <w:lang w:val="en-US"/>
        </w:rPr>
        <w:t xml:space="preserve"> </w:t>
      </w:r>
      <w:r>
        <w:rPr>
          <w:szCs w:val="24"/>
        </w:rPr>
        <w:t>Holzforschung,</w:t>
      </w:r>
      <w:r>
        <w:rPr>
          <w:rFonts w:hint="eastAsia"/>
          <w:szCs w:val="24"/>
        </w:rPr>
        <w:t xml:space="preserve"> </w:t>
      </w:r>
      <w:r>
        <w:rPr>
          <w:szCs w:val="24"/>
        </w:rPr>
        <w:t>2018,</w:t>
      </w:r>
      <w:r>
        <w:rPr>
          <w:rFonts w:hint="default"/>
          <w:szCs w:val="24"/>
          <w:lang w:val="en-US"/>
        </w:rPr>
        <w:t xml:space="preserve"> </w:t>
      </w:r>
      <w:r>
        <w:rPr>
          <w:szCs w:val="24"/>
        </w:rPr>
        <w:t>72(9):</w:t>
      </w:r>
      <w:r>
        <w:rPr>
          <w:rFonts w:hint="default"/>
          <w:szCs w:val="24"/>
          <w:lang w:val="en-US"/>
        </w:rPr>
        <w:t xml:space="preserve"> </w:t>
      </w:r>
      <w:r>
        <w:rPr>
          <w:szCs w:val="24"/>
        </w:rPr>
        <w:t xml:space="preserve">759-768. </w:t>
      </w:r>
      <w:bookmarkEnd w:id="98"/>
    </w:p>
    <w:p>
      <w:pPr>
        <w:numPr>
          <w:ilvl w:val="0"/>
          <w:numId w:val="11"/>
        </w:numPr>
        <w:ind w:left="510" w:hanging="510"/>
        <w:jc w:val="both"/>
        <w:rPr>
          <w:szCs w:val="24"/>
        </w:rPr>
      </w:pPr>
      <w:bookmarkStart w:id="99" w:name="_Ref170529289"/>
      <w:r>
        <w:rPr>
          <w:szCs w:val="24"/>
        </w:rPr>
        <w:t>Liu M,</w:t>
      </w:r>
      <w:r>
        <w:rPr>
          <w:rFonts w:hint="default"/>
          <w:szCs w:val="24"/>
          <w:lang w:val="en-US"/>
        </w:rPr>
        <w:t xml:space="preserve"> </w:t>
      </w:r>
      <w:r>
        <w:rPr>
          <w:szCs w:val="24"/>
        </w:rPr>
        <w:t>Wang Y,</w:t>
      </w:r>
      <w:r>
        <w:rPr>
          <w:rFonts w:hint="default"/>
          <w:szCs w:val="24"/>
          <w:lang w:val="en-US"/>
        </w:rPr>
        <w:t xml:space="preserve"> </w:t>
      </w:r>
      <w:r>
        <w:rPr>
          <w:szCs w:val="24"/>
        </w:rPr>
        <w:t>Wu Y Q,</w:t>
      </w:r>
      <w:r>
        <w:rPr>
          <w:rFonts w:hint="default"/>
          <w:szCs w:val="24"/>
          <w:lang w:val="en-US"/>
        </w:rPr>
        <w:t xml:space="preserve"> </w:t>
      </w:r>
      <w:r>
        <w:rPr>
          <w:szCs w:val="24"/>
        </w:rPr>
        <w:t>et al.</w:t>
      </w:r>
      <w:r>
        <w:fldChar w:fldCharType="begin"/>
      </w:r>
      <w:r>
        <w:instrText xml:space="preserve"> HYPERLINK "https://www.sciencedirect.com/science/article/pii/S0304389418303662" </w:instrText>
      </w:r>
      <w:r>
        <w:fldChar w:fldCharType="separate"/>
      </w:r>
      <w:r>
        <w:rPr>
          <w:rStyle w:val="52"/>
          <w:color w:val="auto"/>
          <w:szCs w:val="24"/>
          <w:u w:val="none"/>
        </w:rPr>
        <w:t>Hydrolysis and recycling of urea formaldehyde resin residues</w:t>
      </w:r>
      <w:r>
        <w:rPr>
          <w:rStyle w:val="52"/>
          <w:color w:val="auto"/>
          <w:szCs w:val="24"/>
          <w:u w:val="none"/>
        </w:rPr>
        <w:fldChar w:fldCharType="end"/>
      </w:r>
      <w:r>
        <w:rPr>
          <w:szCs w:val="24"/>
        </w:rPr>
        <w:t>[J].</w:t>
      </w:r>
      <w:r>
        <w:rPr>
          <w:rFonts w:hint="default"/>
          <w:szCs w:val="24"/>
          <w:lang w:val="en-US"/>
        </w:rPr>
        <w:t xml:space="preserve"> </w:t>
      </w:r>
      <w:r>
        <w:rPr>
          <w:szCs w:val="24"/>
        </w:rPr>
        <w:t>Journal of Hazardous Materials,</w:t>
      </w:r>
      <w:r>
        <w:rPr>
          <w:rFonts w:hint="default"/>
          <w:szCs w:val="24"/>
          <w:lang w:val="en-US"/>
        </w:rPr>
        <w:t xml:space="preserve"> </w:t>
      </w:r>
      <w:r>
        <w:rPr>
          <w:szCs w:val="24"/>
        </w:rPr>
        <w:t>2018,</w:t>
      </w:r>
      <w:r>
        <w:rPr>
          <w:rFonts w:hint="default"/>
          <w:szCs w:val="24"/>
          <w:lang w:val="en-US"/>
        </w:rPr>
        <w:t xml:space="preserve"> </w:t>
      </w:r>
      <w:r>
        <w:rPr>
          <w:szCs w:val="24"/>
        </w:rPr>
        <w:t>355:</w:t>
      </w:r>
      <w:r>
        <w:rPr>
          <w:rFonts w:hint="default"/>
          <w:szCs w:val="24"/>
          <w:lang w:val="en-US"/>
        </w:rPr>
        <w:t xml:space="preserve"> </w:t>
      </w:r>
      <w:r>
        <w:rPr>
          <w:szCs w:val="24"/>
        </w:rPr>
        <w:t xml:space="preserve">96-103. </w:t>
      </w:r>
      <w:bookmarkEnd w:id="99"/>
    </w:p>
    <w:p>
      <w:pPr>
        <w:numPr>
          <w:ilvl w:val="0"/>
          <w:numId w:val="11"/>
        </w:numPr>
        <w:ind w:left="510" w:hanging="510"/>
        <w:jc w:val="both"/>
        <w:rPr>
          <w:szCs w:val="24"/>
        </w:rPr>
      </w:pPr>
      <w:bookmarkStart w:id="100" w:name="_Ref166436418"/>
      <w:r>
        <w:rPr>
          <w:rFonts w:hint="eastAsia"/>
          <w:szCs w:val="24"/>
        </w:rPr>
        <w:t>程斌.</w:t>
      </w:r>
      <w:r>
        <w:fldChar w:fldCharType="begin"/>
      </w:r>
      <w:r>
        <w:instrText xml:space="preserve"> HYPERLINK "https://kns.cnki.net/kcms2/article/abstract?v=WdAl4K16JyWZK1Zz7AEvRh4EeI2qvaEY5t7R9hYiMm-cK0iOzGERZgTKl7Cb4IwD0wbUbxcoxoUjUazmkfS4mQb2ijW7q0g--2a4VSv8PoV8itd6FfD2U57JAfKPogTZLPEM9bxU0Fg=&amp;uniplatform=NZKPT&amp;language=CHS" </w:instrText>
      </w:r>
      <w:r>
        <w:fldChar w:fldCharType="separate"/>
      </w:r>
      <w:r>
        <w:rPr>
          <w:rStyle w:val="52"/>
          <w:rFonts w:hint="eastAsia"/>
          <w:color w:val="auto"/>
          <w:szCs w:val="24"/>
          <w:u w:val="none"/>
        </w:rPr>
        <w:t>X射线光电子能谱技术及其应用</w:t>
      </w:r>
      <w:r>
        <w:rPr>
          <w:rStyle w:val="52"/>
          <w:rFonts w:hint="eastAsia"/>
          <w:color w:val="auto"/>
          <w:szCs w:val="24"/>
          <w:u w:val="none"/>
        </w:rPr>
        <w:fldChar w:fldCharType="end"/>
      </w:r>
      <w:r>
        <w:rPr>
          <w:rFonts w:hint="eastAsia"/>
          <w:szCs w:val="24"/>
        </w:rPr>
        <w:t>[J].</w:t>
      </w:r>
      <w:r>
        <w:rPr>
          <w:rFonts w:hint="default"/>
          <w:szCs w:val="24"/>
          <w:lang w:val="en-US"/>
        </w:rPr>
        <w:t xml:space="preserve"> </w:t>
      </w:r>
      <w:r>
        <w:rPr>
          <w:rFonts w:hint="eastAsia"/>
          <w:szCs w:val="24"/>
        </w:rPr>
        <w:t>北京化工大学学报(自然科学版),</w:t>
      </w:r>
      <w:r>
        <w:rPr>
          <w:rFonts w:hint="default"/>
          <w:szCs w:val="24"/>
          <w:lang w:val="en-US"/>
        </w:rPr>
        <w:t xml:space="preserve"> </w:t>
      </w:r>
      <w:r>
        <w:rPr>
          <w:rFonts w:hint="eastAsia"/>
          <w:szCs w:val="24"/>
        </w:rPr>
        <w:t>2024,</w:t>
      </w:r>
      <w:r>
        <w:rPr>
          <w:rFonts w:hint="default"/>
          <w:szCs w:val="24"/>
          <w:lang w:val="en-US"/>
        </w:rPr>
        <w:t xml:space="preserve"> </w:t>
      </w:r>
      <w:r>
        <w:rPr>
          <w:rFonts w:hint="eastAsia"/>
          <w:szCs w:val="24"/>
        </w:rPr>
        <w:t>51(02):</w:t>
      </w:r>
      <w:r>
        <w:rPr>
          <w:rFonts w:hint="default"/>
          <w:szCs w:val="24"/>
          <w:lang w:val="en-US"/>
        </w:rPr>
        <w:t xml:space="preserve"> </w:t>
      </w:r>
      <w:r>
        <w:rPr>
          <w:rFonts w:hint="eastAsia"/>
          <w:szCs w:val="24"/>
        </w:rPr>
        <w:t>1-18.</w:t>
      </w:r>
      <w:bookmarkEnd w:id="100"/>
    </w:p>
    <w:p>
      <w:pPr>
        <w:numPr>
          <w:ilvl w:val="0"/>
          <w:numId w:val="11"/>
        </w:numPr>
        <w:ind w:left="510" w:hanging="510"/>
        <w:jc w:val="both"/>
        <w:rPr>
          <w:szCs w:val="24"/>
        </w:rPr>
      </w:pPr>
      <w:bookmarkStart w:id="101" w:name="_Ref166436445"/>
      <w:r>
        <w:rPr>
          <w:rFonts w:hint="eastAsia"/>
          <w:szCs w:val="24"/>
        </w:rPr>
        <w:t>刘殿方,</w:t>
      </w:r>
      <w:r>
        <w:rPr>
          <w:rFonts w:hint="default"/>
          <w:szCs w:val="24"/>
          <w:lang w:val="en-US"/>
        </w:rPr>
        <w:t xml:space="preserve"> </w:t>
      </w:r>
      <w:r>
        <w:rPr>
          <w:rFonts w:hint="eastAsia"/>
          <w:szCs w:val="24"/>
        </w:rPr>
        <w:t>乐韵琳,</w:t>
      </w:r>
      <w:r>
        <w:rPr>
          <w:rFonts w:hint="default"/>
          <w:szCs w:val="24"/>
          <w:lang w:val="en-US"/>
        </w:rPr>
        <w:t xml:space="preserve"> </w:t>
      </w:r>
      <w:r>
        <w:rPr>
          <w:rFonts w:hint="eastAsia"/>
          <w:szCs w:val="24"/>
        </w:rPr>
        <w:t>陈新,</w:t>
      </w:r>
      <w:r>
        <w:rPr>
          <w:rFonts w:hint="default"/>
          <w:szCs w:val="24"/>
          <w:lang w:val="en-US"/>
        </w:rPr>
        <w:t xml:space="preserve"> </w:t>
      </w:r>
      <w:r>
        <w:rPr>
          <w:rFonts w:hint="eastAsia"/>
          <w:szCs w:val="24"/>
        </w:rPr>
        <w:t>等.</w:t>
      </w:r>
      <w:r>
        <w:rPr>
          <w:rFonts w:hint="default"/>
          <w:szCs w:val="24"/>
          <w:lang w:val="en-US"/>
        </w:rPr>
        <w:t xml:space="preserve"> </w:t>
      </w:r>
      <w:r>
        <w:fldChar w:fldCharType="begin"/>
      </w:r>
      <w:r>
        <w:instrText xml:space="preserve"> HYPERLINK "https://kns.cnki.net/kcms2/article/abstract?v=WdAl4K16JyXJGApL3RwPEB-bG5RNGFryiVL4aSP8Nq8ycHg8wuifx3PUqs3g0qm4z19lqBEHaS-HVHGoaRZ9eyzfvMgcVHeURjumoGpj6ywYR3FfXnGZ-LhdBwCmQ_c4yHVl21gh1I4=&amp;uniplatform=NZKPT&amp;language=CHS" </w:instrText>
      </w:r>
      <w:r>
        <w:fldChar w:fldCharType="separate"/>
      </w:r>
      <w:r>
        <w:rPr>
          <w:rStyle w:val="52"/>
          <w:rFonts w:hint="eastAsia"/>
          <w:color w:val="auto"/>
          <w:szCs w:val="24"/>
          <w:u w:val="none"/>
        </w:rPr>
        <w:t>X射线光电子能谱荷电校准方法研究进展</w:t>
      </w:r>
      <w:r>
        <w:rPr>
          <w:rStyle w:val="52"/>
          <w:rFonts w:hint="eastAsia"/>
          <w:color w:val="auto"/>
          <w:szCs w:val="24"/>
          <w:u w:val="none"/>
        </w:rPr>
        <w:fldChar w:fldCharType="end"/>
      </w:r>
      <w:r>
        <w:rPr>
          <w:rFonts w:hint="eastAsia"/>
          <w:szCs w:val="24"/>
        </w:rPr>
        <w:t>[J].</w:t>
      </w:r>
      <w:r>
        <w:rPr>
          <w:rFonts w:hint="default"/>
          <w:szCs w:val="24"/>
          <w:lang w:val="en-US"/>
        </w:rPr>
        <w:t xml:space="preserve"> </w:t>
      </w:r>
      <w:r>
        <w:rPr>
          <w:rFonts w:hint="eastAsia"/>
          <w:szCs w:val="24"/>
        </w:rPr>
        <w:t>实验室研究与探索,</w:t>
      </w:r>
      <w:r>
        <w:rPr>
          <w:rFonts w:hint="default"/>
          <w:szCs w:val="24"/>
          <w:lang w:val="en-US"/>
        </w:rPr>
        <w:t xml:space="preserve"> </w:t>
      </w:r>
      <w:r>
        <w:rPr>
          <w:rFonts w:hint="eastAsia"/>
          <w:szCs w:val="24"/>
        </w:rPr>
        <w:t>2024,</w:t>
      </w:r>
      <w:r>
        <w:rPr>
          <w:rFonts w:hint="default"/>
          <w:szCs w:val="24"/>
          <w:lang w:val="en-US"/>
        </w:rPr>
        <w:t xml:space="preserve"> </w:t>
      </w:r>
      <w:r>
        <w:rPr>
          <w:rFonts w:hint="eastAsia"/>
          <w:szCs w:val="24"/>
        </w:rPr>
        <w:t>43(01):</w:t>
      </w:r>
      <w:r>
        <w:rPr>
          <w:rFonts w:hint="default"/>
          <w:szCs w:val="24"/>
          <w:lang w:val="en-US"/>
        </w:rPr>
        <w:t xml:space="preserve"> </w:t>
      </w:r>
      <w:r>
        <w:rPr>
          <w:rFonts w:hint="eastAsia"/>
          <w:szCs w:val="24"/>
        </w:rPr>
        <w:t>20-22+26.</w:t>
      </w:r>
      <w:bookmarkEnd w:id="101"/>
    </w:p>
    <w:p>
      <w:pPr>
        <w:numPr>
          <w:ilvl w:val="0"/>
          <w:numId w:val="11"/>
        </w:numPr>
        <w:ind w:left="510" w:hanging="510"/>
        <w:jc w:val="both"/>
        <w:rPr>
          <w:szCs w:val="24"/>
        </w:rPr>
      </w:pPr>
      <w:bookmarkStart w:id="102" w:name="_Ref166450133"/>
      <w:r>
        <w:rPr>
          <w:szCs w:val="24"/>
        </w:rPr>
        <w:t>Zhuang X</w:t>
      </w:r>
      <w:r>
        <w:rPr>
          <w:rFonts w:hint="eastAsia"/>
          <w:szCs w:val="24"/>
        </w:rPr>
        <w:t>,</w:t>
      </w:r>
      <w:r>
        <w:rPr>
          <w:rFonts w:hint="default"/>
          <w:szCs w:val="24"/>
          <w:lang w:val="en-US"/>
        </w:rPr>
        <w:t xml:space="preserve"> </w:t>
      </w:r>
      <w:r>
        <w:rPr>
          <w:szCs w:val="24"/>
        </w:rPr>
        <w:t>Zhan H,</w:t>
      </w:r>
      <w:r>
        <w:rPr>
          <w:rFonts w:hint="default"/>
          <w:szCs w:val="24"/>
          <w:lang w:val="en-US"/>
        </w:rPr>
        <w:t xml:space="preserve"> </w:t>
      </w:r>
      <w:r>
        <w:rPr>
          <w:szCs w:val="24"/>
        </w:rPr>
        <w:t>Huang Y</w:t>
      </w:r>
      <w:r>
        <w:rPr>
          <w:rFonts w:hint="eastAsia"/>
          <w:szCs w:val="24"/>
        </w:rPr>
        <w:t>,</w:t>
      </w:r>
      <w:r>
        <w:rPr>
          <w:rFonts w:hint="default"/>
          <w:szCs w:val="24"/>
          <w:lang w:val="en-US"/>
        </w:rPr>
        <w:t xml:space="preserve"> </w:t>
      </w:r>
      <w:r>
        <w:rPr>
          <w:szCs w:val="24"/>
        </w:rPr>
        <w:t>et al</w:t>
      </w:r>
      <w:r>
        <w:rPr>
          <w:rFonts w:hint="eastAsia"/>
          <w:szCs w:val="24"/>
        </w:rPr>
        <w:t>.</w:t>
      </w:r>
      <w:r>
        <w:rPr>
          <w:rFonts w:hint="default"/>
          <w:szCs w:val="24"/>
          <w:lang w:val="en-US"/>
        </w:rPr>
        <w:t xml:space="preserve"> </w:t>
      </w:r>
      <w:r>
        <w:fldChar w:fldCharType="begin"/>
      </w:r>
      <w:r>
        <w:instrText xml:space="preserve"> HYPERLINK "https://www.sciencedirect.com/science/article/abs/pii/S0960852418300750" </w:instrText>
      </w:r>
      <w:r>
        <w:fldChar w:fldCharType="separate"/>
      </w:r>
      <w:r>
        <w:rPr>
          <w:rStyle w:val="52"/>
          <w:color w:val="auto"/>
          <w:szCs w:val="24"/>
          <w:u w:val="none"/>
        </w:rPr>
        <w:t>Denitrification and desulphurization of industrial biowastes via hydrothermal modification</w:t>
      </w:r>
      <w:r>
        <w:rPr>
          <w:rStyle w:val="52"/>
          <w:color w:val="auto"/>
          <w:szCs w:val="24"/>
          <w:u w:val="none"/>
        </w:rPr>
        <w:fldChar w:fldCharType="end"/>
      </w:r>
      <w:r>
        <w:rPr>
          <w:szCs w:val="24"/>
        </w:rPr>
        <w:t>[J].</w:t>
      </w:r>
      <w:r>
        <w:rPr>
          <w:rFonts w:hint="default"/>
          <w:szCs w:val="24"/>
          <w:lang w:val="en-US"/>
        </w:rPr>
        <w:t xml:space="preserve"> </w:t>
      </w:r>
      <w:r>
        <w:rPr>
          <w:szCs w:val="24"/>
        </w:rPr>
        <w:t>Bioresource Technology,</w:t>
      </w:r>
      <w:r>
        <w:rPr>
          <w:rFonts w:hint="eastAsia"/>
          <w:szCs w:val="24"/>
        </w:rPr>
        <w:t xml:space="preserve"> </w:t>
      </w:r>
      <w:r>
        <w:rPr>
          <w:szCs w:val="24"/>
        </w:rPr>
        <w:t>2018,</w:t>
      </w:r>
      <w:r>
        <w:rPr>
          <w:rFonts w:hint="default"/>
          <w:szCs w:val="24"/>
          <w:lang w:val="en-US"/>
        </w:rPr>
        <w:t xml:space="preserve"> </w:t>
      </w:r>
      <w:r>
        <w:rPr>
          <w:szCs w:val="24"/>
        </w:rPr>
        <w:t>254:</w:t>
      </w:r>
      <w:r>
        <w:rPr>
          <w:rFonts w:hint="default"/>
          <w:szCs w:val="24"/>
          <w:lang w:val="en-US"/>
        </w:rPr>
        <w:t xml:space="preserve"> </w:t>
      </w:r>
      <w:r>
        <w:rPr>
          <w:szCs w:val="24"/>
        </w:rPr>
        <w:t>121-129.</w:t>
      </w:r>
      <w:bookmarkEnd w:id="102"/>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微软雅黑"/>
    <w:panose1 w:val="020F0502020204030204"/>
    <w:charset w:val="00"/>
    <w:family w:val="swiss"/>
    <w:pitch w:val="default"/>
    <w:sig w:usb0="00000000" w:usb1="00000000" w:usb2="00000001" w:usb3="00000000" w:csb0="0000019F" w:csb1="00000000"/>
  </w:font>
  <w:font w:name="微软雅黑">
    <w:panose1 w:val="020B0503020204020204"/>
    <w:charset w:val="86"/>
    <w:family w:val="auto"/>
    <w:pitch w:val="default"/>
    <w:sig w:usb0="80000287" w:usb1="2ACF3C50" w:usb2="00000016" w:usb3="00000000" w:csb0="0004001F" w:csb1="00000000"/>
  </w:font>
  <w:font w:name="SimSun">
    <w:panose1 w:val="02010600030101010101"/>
    <w:charset w:val="86"/>
    <w:family w:val="auto"/>
    <w:pitch w:val="default"/>
    <w:sig w:usb0="00000203" w:usb1="288F0000" w:usb2="00000006"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仿宋_GB2312">
    <w:panose1 w:val="02010609030101010101"/>
    <w:charset w:val="86"/>
    <w:family w:val="modern"/>
    <w:pitch w:val="default"/>
    <w:sig w:usb0="00000001" w:usb1="080E0000" w:usb2="0000000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方正姚体">
    <w:altName w:val="宋体"/>
    <w:panose1 w:val="02010601030101010101"/>
    <w:charset w:val="86"/>
    <w:family w:val="auto"/>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楷体_GB2312">
    <w:panose1 w:val="02010609030101010101"/>
    <w:charset w:val="86"/>
    <w:family w:val="roman"/>
    <w:pitch w:val="default"/>
    <w:sig w:usb0="00000001" w:usb1="080E0000" w:usb2="00000000" w:usb3="00000000" w:csb0="00040000" w:csb1="00000000"/>
  </w:font>
  <w:font w:name="DejaVu Math TeX Gyre">
    <w:panose1 w:val="02000503000000000000"/>
    <w:charset w:val="00"/>
    <w:family w:val="auto"/>
    <w:pitch w:val="default"/>
    <w:sig w:usb0="A10000EF" w:usb1="4A00F9EE" w:usb2="02000008" w:usb3="00000000" w:csb0="60000193" w:csb1="0DD40000"/>
  </w:font>
  <w:font w:name="Microsoft YaHei">
    <w:panose1 w:val="020B0503020204020204"/>
    <w:charset w:val="86"/>
    <w:family w:val="auto"/>
    <w:pitch w:val="default"/>
    <w:sig w:usb0="80000287" w:usb1="2ACF3C50" w:usb2="00000016" w:usb3="00000000" w:csb0="0004001F" w:csb1="00000000"/>
  </w:font>
  <w:font w:name="Tahoma">
    <w:altName w:val="DejaVu Sans"/>
    <w:panose1 w:val="00000000000000000000"/>
    <w:charset w:val="00"/>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8"/>
      <w:tabs>
        <w:tab w:val="center" w:pos="4620"/>
        <w:tab w:val="clear" w:pos="4153"/>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8"/>
      <w:tabs>
        <w:tab w:val="center" w:pos="4620"/>
        <w:tab w:val="clear" w:pos="4153"/>
        <w:tab w:val="clear" w:pos="8306"/>
      </w:tabs>
    </w:pPr>
    <w:r>
      <mc:AlternateContent>
        <mc:Choice Requires="wps">
          <w:drawing>
            <wp:anchor distT="0" distB="0" distL="114300" distR="114300" simplePos="0" relativeHeight="251659264" behindDoc="0" locked="0" layoutInCell="1" allowOverlap="1">
              <wp:simplePos x="0" y="0"/>
              <wp:positionH relativeFrom="margin">
                <wp:posOffset>2818130</wp:posOffset>
              </wp:positionH>
              <wp:positionV relativeFrom="paragraph">
                <wp:posOffset>-53340</wp:posOffset>
              </wp:positionV>
              <wp:extent cx="175895" cy="181610"/>
              <wp:effectExtent l="0" t="0" r="15240" b="8890"/>
              <wp:wrapNone/>
              <wp:docPr id="245228379" name="Text Box 4"/>
              <wp:cNvGraphicFramePr/>
              <a:graphic xmlns:a="http://schemas.openxmlformats.org/drawingml/2006/main">
                <a:graphicData uri="http://schemas.microsoft.com/office/word/2010/wordprocessingShape">
                  <wps:wsp>
                    <wps:cNvSpPr txBox="1"/>
                    <wps:spPr>
                      <a:xfrm>
                        <a:off x="0" y="0"/>
                        <a:ext cx="175846" cy="18170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4" o:spid="_x0000_s1026" o:spt="202" type="#_x0000_t202" style="position:absolute;left:0pt;margin-left:221.9pt;margin-top:-4.2pt;height:14.3pt;width:13.85pt;mso-position-horizontal-relative:margin;z-index:251659264;mso-width-relative:page;mso-height-relative:page;" filled="f" stroked="f" coordsize="21600,21600" o:gfxdata="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">
              <v:fill on="f" focussize="0,0"/>
              <v:stroke on="f" weight="0.5pt"/>
              <v:imagedata o:title=""/>
              <o:lock v:ext="edit" aspectratio="f"/>
              <v:textbox inset="0mm,0mm,0mm,0mm">
                <w:txbxContent>
                  <w:p>
                    <w:pPr>
                      <w:pStyle w:val="38"/>
                      <w:jc w:val="center"/>
                    </w:pPr>
                    <w:r>
                      <w:fldChar w:fldCharType="begin"/>
                    </w:r>
                    <w:r>
                      <w:instrText xml:space="preserve"> PAGE  \* MERGEFORMAT </w:instrText>
                    </w:r>
                    <w:r>
                      <w:fldChar w:fldCharType="separate"/>
                    </w:r>
                    <w:r>
                      <w:t>1</w:t>
                    </w:r>
                    <w:r>
                      <w:fldChar w:fldCharType="end"/>
                    </w:r>
                  </w:p>
                </w:txbxContent>
              </v:textbox>
            </v:shape>
          </w:pict>
        </mc:Fallback>
      </mc:AlternateContent>
    </w:r>
    <w: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3"/>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2"/>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1"/>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80"/>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3"/>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2"/>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1"/>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70"/>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9"/>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9"/>
      <w:lvlText w:val=""/>
      <w:lvlJc w:val="left"/>
      <w:pPr>
        <w:tabs>
          <w:tab w:val="left" w:pos="360"/>
        </w:tabs>
        <w:ind w:left="360" w:hanging="360" w:hangingChars="200"/>
      </w:pPr>
      <w:rPr>
        <w:rFonts w:hint="default" w:ascii="Wingdings" w:hAnsi="Wingdings"/>
      </w:rPr>
    </w:lvl>
  </w:abstractNum>
  <w:abstractNum w:abstractNumId="10">
    <w:nsid w:val="4FF52747"/>
    <w:multiLevelType w:val="multilevel"/>
    <w:tmpl w:val="4FF5274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DFB949"/>
    <w:rsid w:val="00001C6C"/>
    <w:rsid w:val="00013EAC"/>
    <w:rsid w:val="0002328B"/>
    <w:rsid w:val="00034E81"/>
    <w:rsid w:val="00050A31"/>
    <w:rsid w:val="00055A5F"/>
    <w:rsid w:val="00065B6E"/>
    <w:rsid w:val="00065F24"/>
    <w:rsid w:val="000716D2"/>
    <w:rsid w:val="00071AAB"/>
    <w:rsid w:val="00082504"/>
    <w:rsid w:val="0008270B"/>
    <w:rsid w:val="000B5898"/>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1B4A50"/>
    <w:rsid w:val="001C01D5"/>
    <w:rsid w:val="001C0912"/>
    <w:rsid w:val="001C1F57"/>
    <w:rsid w:val="00201333"/>
    <w:rsid w:val="00210FA7"/>
    <w:rsid w:val="00216417"/>
    <w:rsid w:val="0026631D"/>
    <w:rsid w:val="002735DB"/>
    <w:rsid w:val="002810FF"/>
    <w:rsid w:val="00291551"/>
    <w:rsid w:val="002C2F53"/>
    <w:rsid w:val="002D2437"/>
    <w:rsid w:val="002F1436"/>
    <w:rsid w:val="00316F6A"/>
    <w:rsid w:val="0033518C"/>
    <w:rsid w:val="003437C2"/>
    <w:rsid w:val="003711FF"/>
    <w:rsid w:val="00377186"/>
    <w:rsid w:val="00390755"/>
    <w:rsid w:val="003A1C03"/>
    <w:rsid w:val="003A5187"/>
    <w:rsid w:val="003E66C7"/>
    <w:rsid w:val="00414627"/>
    <w:rsid w:val="00425D63"/>
    <w:rsid w:val="00433E3F"/>
    <w:rsid w:val="004643D8"/>
    <w:rsid w:val="00497C24"/>
    <w:rsid w:val="004C4863"/>
    <w:rsid w:val="004C7BA5"/>
    <w:rsid w:val="004E7628"/>
    <w:rsid w:val="004F48F2"/>
    <w:rsid w:val="005149B1"/>
    <w:rsid w:val="0054586B"/>
    <w:rsid w:val="00551E91"/>
    <w:rsid w:val="005647F2"/>
    <w:rsid w:val="005662D1"/>
    <w:rsid w:val="00573A09"/>
    <w:rsid w:val="00597F99"/>
    <w:rsid w:val="005A4526"/>
    <w:rsid w:val="005C1B16"/>
    <w:rsid w:val="005D789B"/>
    <w:rsid w:val="005E53D0"/>
    <w:rsid w:val="006002EB"/>
    <w:rsid w:val="006128EF"/>
    <w:rsid w:val="006245D5"/>
    <w:rsid w:val="006264B4"/>
    <w:rsid w:val="00643033"/>
    <w:rsid w:val="00644CC3"/>
    <w:rsid w:val="00661468"/>
    <w:rsid w:val="006649F0"/>
    <w:rsid w:val="0067245D"/>
    <w:rsid w:val="00681DB6"/>
    <w:rsid w:val="0068470E"/>
    <w:rsid w:val="00695DCD"/>
    <w:rsid w:val="006A05CC"/>
    <w:rsid w:val="006A35A7"/>
    <w:rsid w:val="007152D7"/>
    <w:rsid w:val="00746C14"/>
    <w:rsid w:val="007C2C59"/>
    <w:rsid w:val="00801F23"/>
    <w:rsid w:val="00837632"/>
    <w:rsid w:val="0085640F"/>
    <w:rsid w:val="008567AA"/>
    <w:rsid w:val="00892712"/>
    <w:rsid w:val="008A1065"/>
    <w:rsid w:val="008A680A"/>
    <w:rsid w:val="008B0BB0"/>
    <w:rsid w:val="008E6C4B"/>
    <w:rsid w:val="008F18C0"/>
    <w:rsid w:val="00907648"/>
    <w:rsid w:val="00930FDE"/>
    <w:rsid w:val="00937F24"/>
    <w:rsid w:val="00955474"/>
    <w:rsid w:val="00960276"/>
    <w:rsid w:val="00984C93"/>
    <w:rsid w:val="00987CE1"/>
    <w:rsid w:val="0099405C"/>
    <w:rsid w:val="009C5E16"/>
    <w:rsid w:val="009C600F"/>
    <w:rsid w:val="009D3723"/>
    <w:rsid w:val="009D78C0"/>
    <w:rsid w:val="009E04F2"/>
    <w:rsid w:val="009F2F11"/>
    <w:rsid w:val="00A03B7B"/>
    <w:rsid w:val="00A200C9"/>
    <w:rsid w:val="00A205B0"/>
    <w:rsid w:val="00A250D5"/>
    <w:rsid w:val="00A32F56"/>
    <w:rsid w:val="00A36028"/>
    <w:rsid w:val="00A877D7"/>
    <w:rsid w:val="00A91424"/>
    <w:rsid w:val="00AA2C77"/>
    <w:rsid w:val="00AA47FF"/>
    <w:rsid w:val="00AC1FFF"/>
    <w:rsid w:val="00AC3FB9"/>
    <w:rsid w:val="00AC702A"/>
    <w:rsid w:val="00AD226F"/>
    <w:rsid w:val="00AD3E9D"/>
    <w:rsid w:val="00B0527B"/>
    <w:rsid w:val="00B10036"/>
    <w:rsid w:val="00B13A52"/>
    <w:rsid w:val="00B24CF4"/>
    <w:rsid w:val="00B26993"/>
    <w:rsid w:val="00B355D4"/>
    <w:rsid w:val="00B4570C"/>
    <w:rsid w:val="00B5208C"/>
    <w:rsid w:val="00B74876"/>
    <w:rsid w:val="00BA232A"/>
    <w:rsid w:val="00BB7C2B"/>
    <w:rsid w:val="00BC1664"/>
    <w:rsid w:val="00BC2546"/>
    <w:rsid w:val="00BD2BEC"/>
    <w:rsid w:val="00C05085"/>
    <w:rsid w:val="00C1593D"/>
    <w:rsid w:val="00C510B1"/>
    <w:rsid w:val="00C56C7E"/>
    <w:rsid w:val="00C74F81"/>
    <w:rsid w:val="00C776A4"/>
    <w:rsid w:val="00CA2C6C"/>
    <w:rsid w:val="00CC049E"/>
    <w:rsid w:val="00CC0600"/>
    <w:rsid w:val="00CC78AC"/>
    <w:rsid w:val="00CE22C9"/>
    <w:rsid w:val="00CF1861"/>
    <w:rsid w:val="00CF5BA3"/>
    <w:rsid w:val="00CF7953"/>
    <w:rsid w:val="00D05092"/>
    <w:rsid w:val="00D07232"/>
    <w:rsid w:val="00D10245"/>
    <w:rsid w:val="00D21BDD"/>
    <w:rsid w:val="00D65F07"/>
    <w:rsid w:val="00D72E9D"/>
    <w:rsid w:val="00D92BB7"/>
    <w:rsid w:val="00DC2CD5"/>
    <w:rsid w:val="00DC76D2"/>
    <w:rsid w:val="00DD30ED"/>
    <w:rsid w:val="00DD31CA"/>
    <w:rsid w:val="00DE30AD"/>
    <w:rsid w:val="00DE4970"/>
    <w:rsid w:val="00DF4D41"/>
    <w:rsid w:val="00E64C21"/>
    <w:rsid w:val="00EC24C6"/>
    <w:rsid w:val="00EC68B7"/>
    <w:rsid w:val="00EF2933"/>
    <w:rsid w:val="00F05146"/>
    <w:rsid w:val="00F1115D"/>
    <w:rsid w:val="00F16763"/>
    <w:rsid w:val="00F3513C"/>
    <w:rsid w:val="00F35EE7"/>
    <w:rsid w:val="00F40477"/>
    <w:rsid w:val="00F465C5"/>
    <w:rsid w:val="00F5180D"/>
    <w:rsid w:val="00F51B21"/>
    <w:rsid w:val="00F51D87"/>
    <w:rsid w:val="00F8455C"/>
    <w:rsid w:val="00F86B1F"/>
    <w:rsid w:val="00F90A7E"/>
    <w:rsid w:val="00FA7B6E"/>
    <w:rsid w:val="00FD23EE"/>
    <w:rsid w:val="00FF4522"/>
    <w:rsid w:val="0BC3BB52"/>
    <w:rsid w:val="1176DF3C"/>
    <w:rsid w:val="11EB4AF4"/>
    <w:rsid w:val="16CF9407"/>
    <w:rsid w:val="16FDADC0"/>
    <w:rsid w:val="1B6F9AE5"/>
    <w:rsid w:val="1DDF18F7"/>
    <w:rsid w:val="1F7F6D13"/>
    <w:rsid w:val="27DBEF56"/>
    <w:rsid w:val="2DFA50A1"/>
    <w:rsid w:val="2F7F0036"/>
    <w:rsid w:val="31EE12EE"/>
    <w:rsid w:val="31FC37CC"/>
    <w:rsid w:val="33FFC23F"/>
    <w:rsid w:val="35177A6A"/>
    <w:rsid w:val="36EFAAC3"/>
    <w:rsid w:val="377FE1FA"/>
    <w:rsid w:val="37CB6C0F"/>
    <w:rsid w:val="3A6E5536"/>
    <w:rsid w:val="3D41CAFF"/>
    <w:rsid w:val="3F763897"/>
    <w:rsid w:val="3FAE4630"/>
    <w:rsid w:val="3FB7EE50"/>
    <w:rsid w:val="3FFD6901"/>
    <w:rsid w:val="4FBB67A4"/>
    <w:rsid w:val="56FF4676"/>
    <w:rsid w:val="578F6AF9"/>
    <w:rsid w:val="57F749F7"/>
    <w:rsid w:val="57FA83D8"/>
    <w:rsid w:val="58DF252F"/>
    <w:rsid w:val="5DAD9705"/>
    <w:rsid w:val="5EFFBC0D"/>
    <w:rsid w:val="5F7BC60E"/>
    <w:rsid w:val="5FBADB11"/>
    <w:rsid w:val="5FF3D14C"/>
    <w:rsid w:val="5FFB6AB8"/>
    <w:rsid w:val="63FDB827"/>
    <w:rsid w:val="66F661C0"/>
    <w:rsid w:val="67E38120"/>
    <w:rsid w:val="6BE7F185"/>
    <w:rsid w:val="6CFBDBDB"/>
    <w:rsid w:val="6DA59927"/>
    <w:rsid w:val="6DDE2A90"/>
    <w:rsid w:val="6EFC820D"/>
    <w:rsid w:val="6F5F7FF0"/>
    <w:rsid w:val="6F7D9FC9"/>
    <w:rsid w:val="6FBDDB3B"/>
    <w:rsid w:val="6FEFE56F"/>
    <w:rsid w:val="71DF15B5"/>
    <w:rsid w:val="72DFB949"/>
    <w:rsid w:val="73CD07DB"/>
    <w:rsid w:val="73EF6260"/>
    <w:rsid w:val="756F0015"/>
    <w:rsid w:val="757CEF70"/>
    <w:rsid w:val="758B4714"/>
    <w:rsid w:val="7659F043"/>
    <w:rsid w:val="76FF1A85"/>
    <w:rsid w:val="77DDFED7"/>
    <w:rsid w:val="797BD2EE"/>
    <w:rsid w:val="7A3F7A75"/>
    <w:rsid w:val="7A9C2E94"/>
    <w:rsid w:val="7B7FC6D4"/>
    <w:rsid w:val="7BB32965"/>
    <w:rsid w:val="7BFE5A54"/>
    <w:rsid w:val="7BFF31A2"/>
    <w:rsid w:val="7CEDE0CE"/>
    <w:rsid w:val="7D9B9201"/>
    <w:rsid w:val="7DB6BE14"/>
    <w:rsid w:val="7DEF88EE"/>
    <w:rsid w:val="7DFD6330"/>
    <w:rsid w:val="7E2EB826"/>
    <w:rsid w:val="7EF1496B"/>
    <w:rsid w:val="7F17922B"/>
    <w:rsid w:val="7F4F85D4"/>
    <w:rsid w:val="7F6BF83A"/>
    <w:rsid w:val="7F6E5AF7"/>
    <w:rsid w:val="7F7CC107"/>
    <w:rsid w:val="7F815CC5"/>
    <w:rsid w:val="7FB94F31"/>
    <w:rsid w:val="7FBF6348"/>
    <w:rsid w:val="7FBF6DDE"/>
    <w:rsid w:val="7FD618AD"/>
    <w:rsid w:val="7FFC55B6"/>
    <w:rsid w:val="7FFC81A5"/>
    <w:rsid w:val="7FFEA482"/>
    <w:rsid w:val="7FFF6D6D"/>
    <w:rsid w:val="8FDF75EE"/>
    <w:rsid w:val="8FF74AEF"/>
    <w:rsid w:val="97FFFDCE"/>
    <w:rsid w:val="A36BDA43"/>
    <w:rsid w:val="A97A3016"/>
    <w:rsid w:val="AF5270A5"/>
    <w:rsid w:val="B1EFF7D2"/>
    <w:rsid w:val="B7BFB7A7"/>
    <w:rsid w:val="B8BF1C46"/>
    <w:rsid w:val="B9E328C9"/>
    <w:rsid w:val="BB97244D"/>
    <w:rsid w:val="BBFB6C7A"/>
    <w:rsid w:val="BCED4D0B"/>
    <w:rsid w:val="BD3EA874"/>
    <w:rsid w:val="BD7D1BED"/>
    <w:rsid w:val="BDBF399A"/>
    <w:rsid w:val="BDFAB8DF"/>
    <w:rsid w:val="BF979524"/>
    <w:rsid w:val="BFBC7B6B"/>
    <w:rsid w:val="BFBEAC28"/>
    <w:rsid w:val="BFFFAF7C"/>
    <w:rsid w:val="BFFFCD31"/>
    <w:rsid w:val="CBCE9C62"/>
    <w:rsid w:val="CF7735B8"/>
    <w:rsid w:val="CF79EE6C"/>
    <w:rsid w:val="D77F5787"/>
    <w:rsid w:val="D7B3E74A"/>
    <w:rsid w:val="D7EED1EB"/>
    <w:rsid w:val="D96725FF"/>
    <w:rsid w:val="DB5F5529"/>
    <w:rsid w:val="DDF737CD"/>
    <w:rsid w:val="DEAE80F8"/>
    <w:rsid w:val="DF3F4575"/>
    <w:rsid w:val="DFDE3FAA"/>
    <w:rsid w:val="E22CEC2E"/>
    <w:rsid w:val="E59E3668"/>
    <w:rsid w:val="E5D5CB4C"/>
    <w:rsid w:val="E73D5BF1"/>
    <w:rsid w:val="E77F311F"/>
    <w:rsid w:val="E7EF8272"/>
    <w:rsid w:val="E7FE56B0"/>
    <w:rsid w:val="EAEB96D7"/>
    <w:rsid w:val="ECF7A5C9"/>
    <w:rsid w:val="ED8669DC"/>
    <w:rsid w:val="EDBEFD92"/>
    <w:rsid w:val="EECFFB2E"/>
    <w:rsid w:val="EF5B4521"/>
    <w:rsid w:val="EFDBC48C"/>
    <w:rsid w:val="EFF8DD45"/>
    <w:rsid w:val="EFFA806C"/>
    <w:rsid w:val="EFFF5E6E"/>
    <w:rsid w:val="EFFF8CBA"/>
    <w:rsid w:val="F1D1EA39"/>
    <w:rsid w:val="F1F1D71F"/>
    <w:rsid w:val="F34B9F38"/>
    <w:rsid w:val="F3B36D13"/>
    <w:rsid w:val="F3E32143"/>
    <w:rsid w:val="F59F9F5F"/>
    <w:rsid w:val="F5E237BC"/>
    <w:rsid w:val="F6DB60E7"/>
    <w:rsid w:val="F6FF6AC5"/>
    <w:rsid w:val="F757BA9C"/>
    <w:rsid w:val="F77780FE"/>
    <w:rsid w:val="F7B670CA"/>
    <w:rsid w:val="F7D73058"/>
    <w:rsid w:val="F7E1598C"/>
    <w:rsid w:val="F7EF3188"/>
    <w:rsid w:val="F9BF56FB"/>
    <w:rsid w:val="F9D68DEE"/>
    <w:rsid w:val="F9FF5BC1"/>
    <w:rsid w:val="FAFC5C18"/>
    <w:rsid w:val="FAFFA293"/>
    <w:rsid w:val="FB77DF0A"/>
    <w:rsid w:val="FB7FA321"/>
    <w:rsid w:val="FB9E0A29"/>
    <w:rsid w:val="FBB5B29C"/>
    <w:rsid w:val="FBCF178A"/>
    <w:rsid w:val="FBEE0075"/>
    <w:rsid w:val="FBF6DD42"/>
    <w:rsid w:val="FBF7F4ED"/>
    <w:rsid w:val="FBFD5FD0"/>
    <w:rsid w:val="FC9F2697"/>
    <w:rsid w:val="FCB34CDA"/>
    <w:rsid w:val="FD3A426F"/>
    <w:rsid w:val="FDABEF17"/>
    <w:rsid w:val="FDDE6B8B"/>
    <w:rsid w:val="FDEA399E"/>
    <w:rsid w:val="FDEC3470"/>
    <w:rsid w:val="FDFADA27"/>
    <w:rsid w:val="FE3B2C3B"/>
    <w:rsid w:val="FE9DBA28"/>
    <w:rsid w:val="FEB73133"/>
    <w:rsid w:val="FEEF9B23"/>
    <w:rsid w:val="FF334FFC"/>
    <w:rsid w:val="FF6FC1F7"/>
    <w:rsid w:val="FF76D450"/>
    <w:rsid w:val="FF7E020B"/>
    <w:rsid w:val="FFA63F50"/>
    <w:rsid w:val="FFA7A041"/>
    <w:rsid w:val="FFBF1426"/>
    <w:rsid w:val="FFCF130C"/>
    <w:rsid w:val="FFDF3CDD"/>
    <w:rsid w:val="FFEB90A2"/>
    <w:rsid w:val="FFF7257E"/>
    <w:rsid w:val="FFF7CDA1"/>
    <w:rsid w:val="FFF7CEB3"/>
    <w:rsid w:val="FFF9629E"/>
    <w:rsid w:val="FFFB0F1E"/>
    <w:rsid w:val="FFFC40F8"/>
    <w:rsid w:val="FFFD757F"/>
    <w:rsid w:val="FFFF2DF3"/>
    <w:rsid w:val="FFFF3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宋体" w:cs="Times New Roman"/>
      <w:sz w:val="24"/>
      <w:lang w:val="en-US" w:eastAsia="zh-CN" w:bidi="ar-SA"/>
    </w:rPr>
  </w:style>
  <w:style w:type="paragraph" w:styleId="2">
    <w:name w:val="heading 1"/>
    <w:basedOn w:val="1"/>
    <w:next w:val="1"/>
    <w:qFormat/>
    <w:uiPriority w:val="0"/>
    <w:pPr>
      <w:spacing w:line="578" w:lineRule="auto"/>
      <w:jc w:val="center"/>
      <w:outlineLvl w:val="0"/>
    </w:pPr>
    <w:rPr>
      <w:rFonts w:eastAsia="黑体" w:cs="宋体"/>
      <w:b/>
      <w:bCs/>
      <w:kern w:val="44"/>
      <w:sz w:val="32"/>
      <w:szCs w:val="48"/>
    </w:rPr>
  </w:style>
  <w:style w:type="paragraph" w:styleId="3">
    <w:name w:val="heading 2"/>
    <w:basedOn w:val="1"/>
    <w:next w:val="1"/>
    <w:unhideWhenUsed/>
    <w:qFormat/>
    <w:uiPriority w:val="0"/>
    <w:pPr>
      <w:keepNext/>
      <w:keepLines/>
      <w:spacing w:line="415" w:lineRule="auto"/>
      <w:outlineLvl w:val="1"/>
    </w:pPr>
    <w:rPr>
      <w:rFonts w:eastAsia="黑体"/>
      <w:bCs/>
      <w:sz w:val="30"/>
      <w:szCs w:val="32"/>
    </w:rPr>
  </w:style>
  <w:style w:type="paragraph" w:styleId="4">
    <w:name w:val="heading 3"/>
    <w:basedOn w:val="1"/>
    <w:next w:val="1"/>
    <w:unhideWhenUsed/>
    <w:qFormat/>
    <w:uiPriority w:val="0"/>
    <w:pPr>
      <w:keepNext/>
      <w:keepLines/>
      <w:spacing w:line="415" w:lineRule="auto"/>
      <w:outlineLvl w:val="2"/>
    </w:pPr>
    <w:rPr>
      <w:bCs/>
      <w:sz w:val="28"/>
      <w:szCs w:val="32"/>
    </w:rPr>
  </w:style>
  <w:style w:type="paragraph" w:styleId="5">
    <w:name w:val="heading 4"/>
    <w:basedOn w:val="6"/>
    <w:next w:val="1"/>
    <w:unhideWhenUsed/>
    <w:qFormat/>
    <w:uiPriority w:val="0"/>
    <w:pPr>
      <w:spacing w:beforeAutospacing="1" w:after="16530" w:afterAutospacing="1"/>
      <w:ind w:firstLine="0" w:firstLineChars="0"/>
      <w:jc w:val="left"/>
      <w:outlineLvl w:val="3"/>
    </w:pPr>
    <w:rPr>
      <w:rFonts w:eastAsia="黑体" w:cs="宋体"/>
      <w:bCs/>
    </w:rPr>
  </w:style>
  <w:style w:type="paragraph" w:styleId="7">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8">
    <w:name w:val="heading 6"/>
    <w:basedOn w:val="1"/>
    <w:next w:val="1"/>
    <w:semiHidden/>
    <w:unhideWhenUsed/>
    <w:qFormat/>
    <w:uiPriority w:val="0"/>
    <w:pPr>
      <w:keepNext/>
      <w:keepLines/>
      <w:spacing w:before="240" w:after="64" w:line="320" w:lineRule="auto"/>
      <w:outlineLvl w:val="5"/>
    </w:pPr>
    <w:rPr>
      <w:b/>
      <w:bCs/>
      <w:szCs w:val="24"/>
    </w:rPr>
  </w:style>
  <w:style w:type="paragraph" w:styleId="9">
    <w:name w:val="heading 7"/>
    <w:basedOn w:val="1"/>
    <w:next w:val="1"/>
    <w:semiHidden/>
    <w:unhideWhenUsed/>
    <w:qFormat/>
    <w:uiPriority w:val="0"/>
    <w:pPr>
      <w:keepNext/>
      <w:keepLines/>
      <w:spacing w:before="240" w:after="64" w:line="320" w:lineRule="auto"/>
      <w:outlineLvl w:val="6"/>
    </w:pPr>
    <w:rPr>
      <w:b/>
      <w:bCs/>
      <w:szCs w:val="24"/>
    </w:rPr>
  </w:style>
  <w:style w:type="paragraph" w:styleId="10">
    <w:name w:val="heading 8"/>
    <w:basedOn w:val="1"/>
    <w:next w:val="1"/>
    <w:semiHidden/>
    <w:unhideWhenUsed/>
    <w:qFormat/>
    <w:uiPriority w:val="0"/>
    <w:pPr>
      <w:keepNext/>
      <w:keepLines/>
      <w:spacing w:before="240" w:after="64" w:line="320" w:lineRule="auto"/>
      <w:outlineLvl w:val="7"/>
    </w:pPr>
    <w:rPr>
      <w:szCs w:val="24"/>
    </w:rPr>
  </w:style>
  <w:style w:type="paragraph" w:styleId="11">
    <w:name w:val="heading 9"/>
    <w:basedOn w:val="1"/>
    <w:next w:val="1"/>
    <w:semiHidden/>
    <w:unhideWhenUsed/>
    <w:qFormat/>
    <w:uiPriority w:val="0"/>
    <w:pPr>
      <w:keepNext/>
      <w:keepLines/>
      <w:spacing w:before="240" w:after="64" w:line="320" w:lineRule="auto"/>
      <w:outlineLvl w:val="8"/>
    </w:pPr>
    <w:rPr>
      <w:szCs w:val="21"/>
    </w:rPr>
  </w:style>
  <w:style w:type="character" w:default="1" w:styleId="12">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customStyle="1" w:styleId="6">
    <w:name w:val="正文1"/>
    <w:basedOn w:val="1"/>
    <w:next w:val="1"/>
    <w:qFormat/>
    <w:uiPriority w:val="0"/>
    <w:pPr>
      <w:spacing w:line="360" w:lineRule="auto"/>
      <w:ind w:firstLine="398" w:firstLineChars="181"/>
      <w:jc w:val="both"/>
    </w:pPr>
    <w:rPr>
      <w:szCs w:val="24"/>
    </w:rPr>
  </w:style>
  <w:style w:type="paragraph" w:styleId="14">
    <w:name w:val="Balloon Text"/>
    <w:basedOn w:val="1"/>
    <w:qFormat/>
    <w:uiPriority w:val="0"/>
    <w:rPr>
      <w:sz w:val="16"/>
      <w:szCs w:val="16"/>
    </w:rPr>
  </w:style>
  <w:style w:type="paragraph" w:styleId="15">
    <w:name w:val="Block Text"/>
    <w:basedOn w:val="1"/>
    <w:qFormat/>
    <w:uiPriority w:val="0"/>
    <w:pPr>
      <w:spacing w:after="120"/>
      <w:ind w:left="1440" w:leftChars="700" w:right="1440" w:rightChars="700"/>
    </w:pPr>
  </w:style>
  <w:style w:type="paragraph" w:styleId="16">
    <w:name w:val="Body Text"/>
    <w:basedOn w:val="1"/>
    <w:qFormat/>
    <w:uiPriority w:val="0"/>
    <w:pPr>
      <w:spacing w:after="120"/>
    </w:pPr>
  </w:style>
  <w:style w:type="paragraph" w:styleId="17">
    <w:name w:val="Body Text 2"/>
    <w:basedOn w:val="1"/>
    <w:qFormat/>
    <w:uiPriority w:val="0"/>
    <w:pPr>
      <w:spacing w:after="120" w:line="480" w:lineRule="auto"/>
    </w:pPr>
  </w:style>
  <w:style w:type="paragraph" w:styleId="18">
    <w:name w:val="Body Text 3"/>
    <w:basedOn w:val="1"/>
    <w:qFormat/>
    <w:uiPriority w:val="0"/>
    <w:pPr>
      <w:spacing w:after="120"/>
    </w:pPr>
    <w:rPr>
      <w:sz w:val="16"/>
      <w:szCs w:val="16"/>
    </w:rPr>
  </w:style>
  <w:style w:type="paragraph" w:styleId="19">
    <w:name w:val="Body Text First Indent"/>
    <w:basedOn w:val="16"/>
    <w:qFormat/>
    <w:uiPriority w:val="0"/>
    <w:pPr>
      <w:ind w:firstLine="420" w:firstLineChars="100"/>
    </w:pPr>
  </w:style>
  <w:style w:type="paragraph" w:styleId="20">
    <w:name w:val="Body Text Indent"/>
    <w:basedOn w:val="1"/>
    <w:qFormat/>
    <w:uiPriority w:val="0"/>
    <w:pPr>
      <w:spacing w:after="120"/>
      <w:ind w:left="420" w:leftChars="200"/>
    </w:pPr>
  </w:style>
  <w:style w:type="paragraph" w:styleId="21">
    <w:name w:val="Body Text First Indent 2"/>
    <w:basedOn w:val="20"/>
    <w:qFormat/>
    <w:uiPriority w:val="0"/>
    <w:pPr>
      <w:ind w:firstLine="420" w:firstLineChars="200"/>
    </w:pPr>
  </w:style>
  <w:style w:type="paragraph" w:styleId="22">
    <w:name w:val="Body Text Indent 2"/>
    <w:basedOn w:val="1"/>
    <w:qFormat/>
    <w:uiPriority w:val="0"/>
    <w:pPr>
      <w:spacing w:after="120" w:line="480" w:lineRule="auto"/>
      <w:ind w:left="420" w:leftChars="200"/>
    </w:pPr>
  </w:style>
  <w:style w:type="paragraph" w:styleId="23">
    <w:name w:val="Body Text Indent 3"/>
    <w:basedOn w:val="1"/>
    <w:qFormat/>
    <w:uiPriority w:val="0"/>
    <w:pPr>
      <w:spacing w:after="120"/>
      <w:ind w:left="420" w:leftChars="200"/>
    </w:pPr>
    <w:rPr>
      <w:sz w:val="16"/>
      <w:szCs w:val="16"/>
    </w:rPr>
  </w:style>
  <w:style w:type="paragraph" w:styleId="24">
    <w:name w:val="caption"/>
    <w:basedOn w:val="1"/>
    <w:next w:val="1"/>
    <w:semiHidden/>
    <w:unhideWhenUsed/>
    <w:qFormat/>
    <w:uiPriority w:val="0"/>
    <w:rPr>
      <w:rFonts w:ascii="Arial" w:hAnsi="Arial" w:eastAsia="黑体" w:cs="Arial"/>
      <w:sz w:val="20"/>
    </w:rPr>
  </w:style>
  <w:style w:type="paragraph" w:styleId="25">
    <w:name w:val="Closing"/>
    <w:basedOn w:val="1"/>
    <w:qFormat/>
    <w:uiPriority w:val="0"/>
    <w:pPr>
      <w:ind w:left="100" w:leftChars="2100"/>
    </w:pPr>
  </w:style>
  <w:style w:type="character" w:styleId="26">
    <w:name w:val="annotation reference"/>
    <w:basedOn w:val="12"/>
    <w:qFormat/>
    <w:uiPriority w:val="0"/>
    <w:rPr>
      <w:sz w:val="21"/>
      <w:szCs w:val="21"/>
    </w:rPr>
  </w:style>
  <w:style w:type="paragraph" w:styleId="27">
    <w:name w:val="annotation text"/>
    <w:basedOn w:val="1"/>
    <w:qFormat/>
    <w:uiPriority w:val="0"/>
  </w:style>
  <w:style w:type="paragraph" w:styleId="28">
    <w:name w:val="annotation subject"/>
    <w:basedOn w:val="27"/>
    <w:next w:val="27"/>
    <w:qFormat/>
    <w:uiPriority w:val="0"/>
    <w:rPr>
      <w:b/>
      <w:bCs/>
    </w:rPr>
  </w:style>
  <w:style w:type="paragraph" w:styleId="29">
    <w:name w:val="Date"/>
    <w:basedOn w:val="1"/>
    <w:next w:val="1"/>
    <w:qFormat/>
    <w:uiPriority w:val="0"/>
    <w:pPr>
      <w:ind w:left="100" w:leftChars="2500"/>
    </w:pPr>
  </w:style>
  <w:style w:type="paragraph" w:styleId="30">
    <w:name w:val="Document Map"/>
    <w:basedOn w:val="1"/>
    <w:qFormat/>
    <w:uiPriority w:val="0"/>
    <w:pPr>
      <w:shd w:val="clear" w:color="auto" w:fill="000080"/>
    </w:pPr>
  </w:style>
  <w:style w:type="paragraph" w:styleId="31">
    <w:name w:val="E-mail Signature"/>
    <w:basedOn w:val="1"/>
    <w:qFormat/>
    <w:uiPriority w:val="0"/>
  </w:style>
  <w:style w:type="character" w:styleId="32">
    <w:name w:val="Emphasis"/>
    <w:basedOn w:val="12"/>
    <w:qFormat/>
    <w:uiPriority w:val="0"/>
    <w:rPr>
      <w:i/>
      <w:iCs/>
    </w:rPr>
  </w:style>
  <w:style w:type="character" w:styleId="33">
    <w:name w:val="endnote reference"/>
    <w:basedOn w:val="12"/>
    <w:qFormat/>
    <w:uiPriority w:val="0"/>
    <w:rPr>
      <w:vertAlign w:val="superscript"/>
    </w:rPr>
  </w:style>
  <w:style w:type="paragraph" w:styleId="34">
    <w:name w:val="endnote text"/>
    <w:basedOn w:val="1"/>
    <w:qFormat/>
    <w:uiPriority w:val="0"/>
    <w:pPr>
      <w:snapToGrid w:val="0"/>
    </w:pPr>
  </w:style>
  <w:style w:type="paragraph" w:styleId="35">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Cs w:val="24"/>
    </w:rPr>
  </w:style>
  <w:style w:type="paragraph" w:styleId="36">
    <w:name w:val="envelope return"/>
    <w:basedOn w:val="1"/>
    <w:qFormat/>
    <w:uiPriority w:val="0"/>
    <w:pPr>
      <w:snapToGrid w:val="0"/>
    </w:pPr>
    <w:rPr>
      <w:rFonts w:ascii="Arial" w:hAnsi="Arial" w:cs="Arial"/>
    </w:rPr>
  </w:style>
  <w:style w:type="character" w:styleId="37">
    <w:name w:val="FollowedHyperlink"/>
    <w:basedOn w:val="12"/>
    <w:qFormat/>
    <w:uiPriority w:val="0"/>
    <w:rPr>
      <w:color w:val="800080"/>
      <w:u w:val="single"/>
    </w:rPr>
  </w:style>
  <w:style w:type="paragraph" w:styleId="38">
    <w:name w:val="footer"/>
    <w:basedOn w:val="1"/>
    <w:qFormat/>
    <w:uiPriority w:val="0"/>
    <w:pPr>
      <w:tabs>
        <w:tab w:val="center" w:pos="4153"/>
        <w:tab w:val="right" w:pos="8306"/>
      </w:tabs>
      <w:snapToGrid w:val="0"/>
    </w:pPr>
    <w:rPr>
      <w:sz w:val="18"/>
      <w:szCs w:val="18"/>
    </w:rPr>
  </w:style>
  <w:style w:type="character" w:styleId="39">
    <w:name w:val="footnote reference"/>
    <w:basedOn w:val="12"/>
    <w:qFormat/>
    <w:uiPriority w:val="0"/>
    <w:rPr>
      <w:vertAlign w:val="superscript"/>
    </w:rPr>
  </w:style>
  <w:style w:type="paragraph" w:styleId="40">
    <w:name w:val="footnote text"/>
    <w:basedOn w:val="1"/>
    <w:qFormat/>
    <w:uiPriority w:val="0"/>
    <w:pPr>
      <w:snapToGrid w:val="0"/>
    </w:pPr>
    <w:rPr>
      <w:sz w:val="18"/>
      <w:szCs w:val="18"/>
    </w:rPr>
  </w:style>
  <w:style w:type="paragraph" w:styleId="41">
    <w:name w:val="header"/>
    <w:basedOn w:val="1"/>
    <w:qFormat/>
    <w:uiPriority w:val="0"/>
    <w:pPr>
      <w:tabs>
        <w:tab w:val="center" w:pos="4153"/>
        <w:tab w:val="right" w:pos="8306"/>
      </w:tabs>
      <w:snapToGrid w:val="0"/>
    </w:pPr>
    <w:rPr>
      <w:sz w:val="18"/>
      <w:szCs w:val="18"/>
    </w:rPr>
  </w:style>
  <w:style w:type="character" w:styleId="42">
    <w:name w:val="HTML Acronym"/>
    <w:basedOn w:val="12"/>
    <w:qFormat/>
    <w:uiPriority w:val="0"/>
  </w:style>
  <w:style w:type="paragraph" w:styleId="43">
    <w:name w:val="HTML Address"/>
    <w:basedOn w:val="1"/>
    <w:qFormat/>
    <w:uiPriority w:val="0"/>
    <w:rPr>
      <w:i/>
      <w:iCs/>
    </w:rPr>
  </w:style>
  <w:style w:type="character" w:styleId="44">
    <w:name w:val="HTML Cite"/>
    <w:basedOn w:val="12"/>
    <w:qFormat/>
    <w:uiPriority w:val="0"/>
    <w:rPr>
      <w:i/>
      <w:iCs/>
    </w:rPr>
  </w:style>
  <w:style w:type="character" w:styleId="45">
    <w:name w:val="HTML Code"/>
    <w:basedOn w:val="12"/>
    <w:qFormat/>
    <w:uiPriority w:val="0"/>
    <w:rPr>
      <w:rFonts w:ascii="Courier New" w:hAnsi="Courier New" w:cs="Courier New"/>
      <w:sz w:val="20"/>
      <w:szCs w:val="20"/>
    </w:rPr>
  </w:style>
  <w:style w:type="character" w:styleId="46">
    <w:name w:val="HTML Definition"/>
    <w:basedOn w:val="12"/>
    <w:qFormat/>
    <w:uiPriority w:val="0"/>
    <w:rPr>
      <w:i/>
      <w:iCs/>
    </w:rPr>
  </w:style>
  <w:style w:type="character" w:styleId="47">
    <w:name w:val="HTML Keyboard"/>
    <w:basedOn w:val="12"/>
    <w:qFormat/>
    <w:uiPriority w:val="0"/>
    <w:rPr>
      <w:rFonts w:ascii="Courier New" w:hAnsi="Courier New" w:cs="Courier New"/>
      <w:sz w:val="20"/>
      <w:szCs w:val="20"/>
    </w:rPr>
  </w:style>
  <w:style w:type="paragraph" w:styleId="48">
    <w:name w:val="HTML Preformatted"/>
    <w:basedOn w:val="1"/>
    <w:qFormat/>
    <w:uiPriority w:val="0"/>
    <w:rPr>
      <w:rFonts w:ascii="Courier New" w:hAnsi="Courier New" w:cs="Courier New"/>
      <w:sz w:val="20"/>
    </w:rPr>
  </w:style>
  <w:style w:type="character" w:styleId="49">
    <w:name w:val="HTML Sample"/>
    <w:basedOn w:val="12"/>
    <w:qFormat/>
    <w:uiPriority w:val="0"/>
    <w:rPr>
      <w:rFonts w:ascii="Courier New" w:hAnsi="Courier New" w:cs="Courier New"/>
    </w:rPr>
  </w:style>
  <w:style w:type="character" w:styleId="50">
    <w:name w:val="HTML Typewriter"/>
    <w:basedOn w:val="12"/>
    <w:qFormat/>
    <w:uiPriority w:val="0"/>
    <w:rPr>
      <w:rFonts w:ascii="Courier New" w:hAnsi="Courier New" w:cs="Courier New"/>
      <w:sz w:val="20"/>
      <w:szCs w:val="20"/>
    </w:rPr>
  </w:style>
  <w:style w:type="character" w:styleId="51">
    <w:name w:val="HTML Variable"/>
    <w:basedOn w:val="12"/>
    <w:qFormat/>
    <w:uiPriority w:val="0"/>
    <w:rPr>
      <w:i/>
      <w:iCs/>
    </w:rPr>
  </w:style>
  <w:style w:type="character" w:styleId="52">
    <w:name w:val="Hyperlink"/>
    <w:basedOn w:val="12"/>
    <w:qFormat/>
    <w:uiPriority w:val="99"/>
    <w:rPr>
      <w:color w:val="0000FF"/>
      <w:u w:val="single"/>
    </w:rPr>
  </w:style>
  <w:style w:type="paragraph" w:styleId="53">
    <w:name w:val="index 1"/>
    <w:basedOn w:val="1"/>
    <w:next w:val="1"/>
    <w:qFormat/>
    <w:uiPriority w:val="0"/>
  </w:style>
  <w:style w:type="paragraph" w:styleId="54">
    <w:name w:val="index 2"/>
    <w:basedOn w:val="1"/>
    <w:next w:val="1"/>
    <w:qFormat/>
    <w:uiPriority w:val="0"/>
    <w:pPr>
      <w:ind w:left="200" w:leftChars="200"/>
    </w:pPr>
  </w:style>
  <w:style w:type="paragraph" w:styleId="55">
    <w:name w:val="index 3"/>
    <w:basedOn w:val="1"/>
    <w:next w:val="1"/>
    <w:qFormat/>
    <w:uiPriority w:val="0"/>
    <w:pPr>
      <w:ind w:left="400" w:leftChars="400"/>
    </w:pPr>
  </w:style>
  <w:style w:type="paragraph" w:styleId="56">
    <w:name w:val="index 4"/>
    <w:basedOn w:val="1"/>
    <w:next w:val="1"/>
    <w:qFormat/>
    <w:uiPriority w:val="0"/>
    <w:pPr>
      <w:ind w:left="600" w:leftChars="600"/>
    </w:pPr>
  </w:style>
  <w:style w:type="paragraph" w:styleId="57">
    <w:name w:val="index 5"/>
    <w:basedOn w:val="1"/>
    <w:next w:val="1"/>
    <w:qFormat/>
    <w:uiPriority w:val="0"/>
    <w:pPr>
      <w:ind w:left="800" w:leftChars="800"/>
    </w:pPr>
  </w:style>
  <w:style w:type="paragraph" w:styleId="58">
    <w:name w:val="index 6"/>
    <w:basedOn w:val="1"/>
    <w:next w:val="1"/>
    <w:qFormat/>
    <w:uiPriority w:val="0"/>
    <w:pPr>
      <w:ind w:left="1000" w:leftChars="1000"/>
    </w:pPr>
  </w:style>
  <w:style w:type="paragraph" w:styleId="59">
    <w:name w:val="index 7"/>
    <w:basedOn w:val="1"/>
    <w:next w:val="1"/>
    <w:qFormat/>
    <w:uiPriority w:val="0"/>
    <w:pPr>
      <w:ind w:left="1200" w:leftChars="1200"/>
    </w:pPr>
  </w:style>
  <w:style w:type="paragraph" w:styleId="60">
    <w:name w:val="index 8"/>
    <w:basedOn w:val="1"/>
    <w:next w:val="1"/>
    <w:qFormat/>
    <w:uiPriority w:val="0"/>
    <w:pPr>
      <w:ind w:left="1400" w:leftChars="1400"/>
    </w:pPr>
  </w:style>
  <w:style w:type="paragraph" w:styleId="61">
    <w:name w:val="index 9"/>
    <w:basedOn w:val="1"/>
    <w:next w:val="1"/>
    <w:qFormat/>
    <w:uiPriority w:val="0"/>
    <w:pPr>
      <w:ind w:left="1600" w:leftChars="1600"/>
    </w:pPr>
  </w:style>
  <w:style w:type="paragraph" w:styleId="62">
    <w:name w:val="index heading"/>
    <w:basedOn w:val="1"/>
    <w:next w:val="53"/>
    <w:qFormat/>
    <w:uiPriority w:val="0"/>
    <w:rPr>
      <w:rFonts w:ascii="Arial" w:hAnsi="Arial" w:cs="Arial"/>
      <w:b/>
      <w:bCs/>
    </w:rPr>
  </w:style>
  <w:style w:type="character" w:styleId="63">
    <w:name w:val="line number"/>
    <w:basedOn w:val="12"/>
    <w:qFormat/>
    <w:uiPriority w:val="0"/>
  </w:style>
  <w:style w:type="paragraph" w:styleId="64">
    <w:name w:val="List"/>
    <w:basedOn w:val="1"/>
    <w:qFormat/>
    <w:uiPriority w:val="0"/>
    <w:pPr>
      <w:ind w:left="200" w:hanging="200" w:hangingChars="200"/>
    </w:pPr>
  </w:style>
  <w:style w:type="paragraph" w:styleId="65">
    <w:name w:val="List 2"/>
    <w:basedOn w:val="1"/>
    <w:qFormat/>
    <w:uiPriority w:val="0"/>
    <w:pPr>
      <w:ind w:left="100" w:leftChars="200" w:hanging="200" w:hangingChars="200"/>
    </w:pPr>
  </w:style>
  <w:style w:type="paragraph" w:styleId="66">
    <w:name w:val="List 3"/>
    <w:basedOn w:val="1"/>
    <w:qFormat/>
    <w:uiPriority w:val="0"/>
    <w:pPr>
      <w:ind w:left="100" w:leftChars="400" w:hanging="200" w:hangingChars="200"/>
    </w:pPr>
  </w:style>
  <w:style w:type="paragraph" w:styleId="67">
    <w:name w:val="List 4"/>
    <w:basedOn w:val="1"/>
    <w:qFormat/>
    <w:uiPriority w:val="0"/>
    <w:pPr>
      <w:ind w:left="100" w:leftChars="600" w:hanging="200" w:hangingChars="200"/>
    </w:pPr>
  </w:style>
  <w:style w:type="paragraph" w:styleId="68">
    <w:name w:val="List 5"/>
    <w:basedOn w:val="1"/>
    <w:qFormat/>
    <w:uiPriority w:val="0"/>
    <w:pPr>
      <w:ind w:left="100" w:leftChars="800" w:hanging="200" w:hangingChars="200"/>
    </w:pPr>
  </w:style>
  <w:style w:type="paragraph" w:styleId="69">
    <w:name w:val="List Bullet"/>
    <w:basedOn w:val="1"/>
    <w:qFormat/>
    <w:uiPriority w:val="0"/>
    <w:pPr>
      <w:numPr>
        <w:ilvl w:val="0"/>
        <w:numId w:val="1"/>
      </w:numPr>
    </w:pPr>
  </w:style>
  <w:style w:type="paragraph" w:styleId="70">
    <w:name w:val="List Bullet 2"/>
    <w:basedOn w:val="1"/>
    <w:qFormat/>
    <w:uiPriority w:val="0"/>
    <w:pPr>
      <w:numPr>
        <w:ilvl w:val="0"/>
        <w:numId w:val="2"/>
      </w:numPr>
    </w:pPr>
  </w:style>
  <w:style w:type="paragraph" w:styleId="71">
    <w:name w:val="List Bullet 3"/>
    <w:basedOn w:val="1"/>
    <w:qFormat/>
    <w:uiPriority w:val="0"/>
    <w:pPr>
      <w:numPr>
        <w:ilvl w:val="0"/>
        <w:numId w:val="3"/>
      </w:numPr>
    </w:pPr>
  </w:style>
  <w:style w:type="paragraph" w:styleId="72">
    <w:name w:val="List Bullet 4"/>
    <w:basedOn w:val="1"/>
    <w:qFormat/>
    <w:uiPriority w:val="0"/>
    <w:pPr>
      <w:numPr>
        <w:ilvl w:val="0"/>
        <w:numId w:val="4"/>
      </w:numPr>
    </w:pPr>
  </w:style>
  <w:style w:type="paragraph" w:styleId="73">
    <w:name w:val="List Bullet 5"/>
    <w:basedOn w:val="1"/>
    <w:qFormat/>
    <w:uiPriority w:val="0"/>
    <w:pPr>
      <w:numPr>
        <w:ilvl w:val="0"/>
        <w:numId w:val="5"/>
      </w:numPr>
    </w:pPr>
  </w:style>
  <w:style w:type="paragraph" w:styleId="74">
    <w:name w:val="List Continue"/>
    <w:basedOn w:val="1"/>
    <w:qFormat/>
    <w:uiPriority w:val="0"/>
    <w:pPr>
      <w:spacing w:after="120"/>
      <w:ind w:left="420" w:leftChars="200"/>
    </w:pPr>
  </w:style>
  <w:style w:type="paragraph" w:styleId="75">
    <w:name w:val="List Continue 2"/>
    <w:basedOn w:val="1"/>
    <w:qFormat/>
    <w:uiPriority w:val="0"/>
    <w:pPr>
      <w:spacing w:after="120"/>
      <w:ind w:left="840" w:leftChars="400"/>
    </w:pPr>
  </w:style>
  <w:style w:type="paragraph" w:styleId="76">
    <w:name w:val="List Continue 3"/>
    <w:basedOn w:val="1"/>
    <w:qFormat/>
    <w:uiPriority w:val="0"/>
    <w:pPr>
      <w:spacing w:after="120"/>
      <w:ind w:left="1260" w:leftChars="600"/>
    </w:pPr>
  </w:style>
  <w:style w:type="paragraph" w:styleId="77">
    <w:name w:val="List Continue 4"/>
    <w:basedOn w:val="1"/>
    <w:qFormat/>
    <w:uiPriority w:val="0"/>
    <w:pPr>
      <w:spacing w:after="120"/>
      <w:ind w:left="1680" w:leftChars="800"/>
    </w:pPr>
  </w:style>
  <w:style w:type="paragraph" w:styleId="78">
    <w:name w:val="List Continue 5"/>
    <w:basedOn w:val="1"/>
    <w:qFormat/>
    <w:uiPriority w:val="0"/>
    <w:pPr>
      <w:spacing w:after="120"/>
      <w:ind w:left="2100" w:leftChars="1000"/>
    </w:pPr>
  </w:style>
  <w:style w:type="paragraph" w:styleId="79">
    <w:name w:val="List Number"/>
    <w:basedOn w:val="1"/>
    <w:qFormat/>
    <w:uiPriority w:val="0"/>
    <w:pPr>
      <w:numPr>
        <w:ilvl w:val="0"/>
        <w:numId w:val="6"/>
      </w:numPr>
    </w:pPr>
  </w:style>
  <w:style w:type="paragraph" w:styleId="80">
    <w:name w:val="List Number 2"/>
    <w:basedOn w:val="1"/>
    <w:qFormat/>
    <w:uiPriority w:val="0"/>
    <w:pPr>
      <w:numPr>
        <w:ilvl w:val="0"/>
        <w:numId w:val="7"/>
      </w:numPr>
    </w:pPr>
  </w:style>
  <w:style w:type="paragraph" w:styleId="81">
    <w:name w:val="List Number 3"/>
    <w:basedOn w:val="1"/>
    <w:qFormat/>
    <w:uiPriority w:val="0"/>
    <w:pPr>
      <w:numPr>
        <w:ilvl w:val="0"/>
        <w:numId w:val="8"/>
      </w:numPr>
    </w:pPr>
  </w:style>
  <w:style w:type="paragraph" w:styleId="82">
    <w:name w:val="List Number 4"/>
    <w:basedOn w:val="1"/>
    <w:qFormat/>
    <w:uiPriority w:val="0"/>
    <w:pPr>
      <w:numPr>
        <w:ilvl w:val="0"/>
        <w:numId w:val="9"/>
      </w:numPr>
    </w:pPr>
  </w:style>
  <w:style w:type="paragraph" w:styleId="83">
    <w:name w:val="List Number 5"/>
    <w:basedOn w:val="1"/>
    <w:qFormat/>
    <w:uiPriority w:val="0"/>
    <w:pPr>
      <w:numPr>
        <w:ilvl w:val="0"/>
        <w:numId w:val="10"/>
      </w:numPr>
    </w:pPr>
  </w:style>
  <w:style w:type="paragraph" w:styleId="84">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Cs w:val="24"/>
    </w:rPr>
  </w:style>
  <w:style w:type="paragraph" w:styleId="86">
    <w:name w:val="Normal (Web)"/>
    <w:basedOn w:val="6"/>
    <w:qFormat/>
    <w:uiPriority w:val="0"/>
    <w:pPr>
      <w:spacing w:beforeAutospacing="1" w:afterAutospacing="1"/>
      <w:jc w:val="left"/>
    </w:pPr>
  </w:style>
  <w:style w:type="paragraph" w:styleId="87">
    <w:name w:val="Normal Indent"/>
    <w:basedOn w:val="1"/>
    <w:qFormat/>
    <w:uiPriority w:val="0"/>
    <w:pPr>
      <w:ind w:firstLine="420" w:firstLineChars="200"/>
    </w:pPr>
  </w:style>
  <w:style w:type="paragraph" w:styleId="88">
    <w:name w:val="Note Heading"/>
    <w:basedOn w:val="1"/>
    <w:next w:val="1"/>
    <w:qFormat/>
    <w:uiPriority w:val="0"/>
    <w:pPr>
      <w:jc w:val="center"/>
    </w:pPr>
  </w:style>
  <w:style w:type="character" w:styleId="89">
    <w:name w:val="page number"/>
    <w:basedOn w:val="12"/>
    <w:qFormat/>
    <w:uiPriority w:val="0"/>
  </w:style>
  <w:style w:type="paragraph" w:styleId="90">
    <w:name w:val="Plain Text"/>
    <w:basedOn w:val="1"/>
    <w:qFormat/>
    <w:uiPriority w:val="0"/>
    <w:rPr>
      <w:rFonts w:ascii="宋体" w:hAnsi="Courier New" w:cs="Courier New"/>
      <w:szCs w:val="21"/>
    </w:rPr>
  </w:style>
  <w:style w:type="paragraph" w:styleId="91">
    <w:name w:val="Salutation"/>
    <w:basedOn w:val="1"/>
    <w:next w:val="1"/>
    <w:qFormat/>
    <w:uiPriority w:val="0"/>
  </w:style>
  <w:style w:type="paragraph" w:styleId="92">
    <w:name w:val="Signature"/>
    <w:basedOn w:val="1"/>
    <w:qFormat/>
    <w:uiPriority w:val="0"/>
    <w:pPr>
      <w:ind w:left="100" w:leftChars="2100"/>
    </w:pPr>
  </w:style>
  <w:style w:type="character" w:styleId="93">
    <w:name w:val="Strong"/>
    <w:basedOn w:val="12"/>
    <w:qFormat/>
    <w:uiPriority w:val="0"/>
    <w:rPr>
      <w:b/>
      <w:bCs/>
    </w:rPr>
  </w:style>
  <w:style w:type="paragraph" w:styleId="94">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5">
    <w:name w:val="Table 3D effects 1"/>
    <w:basedOn w:val="13"/>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6">
    <w:name w:val="Table 3D effects 2"/>
    <w:basedOn w:val="13"/>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3D effects 3"/>
    <w:basedOn w:val="13"/>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8">
    <w:name w:val="Table Classic 1"/>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9">
    <w:name w:val="Table Classic 2"/>
    <w:basedOn w:val="13"/>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100">
    <w:name w:val="Table Classic 3"/>
    <w:basedOn w:val="13"/>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1">
    <w:name w:val="Table Classic 4"/>
    <w:basedOn w:val="13"/>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2">
    <w:name w:val="Table Colorful 1"/>
    <w:basedOn w:val="13"/>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3">
    <w:name w:val="Table Colorful 2"/>
    <w:basedOn w:val="13"/>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4">
    <w:name w:val="Table Colorful 3"/>
    <w:basedOn w:val="13"/>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5">
    <w:name w:val="Table Columns 1"/>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2"/>
    <w:basedOn w:val="13"/>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7">
    <w:name w:val="Table Columns 3"/>
    <w:basedOn w:val="13"/>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8">
    <w:name w:val="Table Columns 4"/>
    <w:basedOn w:val="13"/>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9">
    <w:name w:val="Table Columns 5"/>
    <w:basedOn w:val="13"/>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10">
    <w:name w:val="Table Contemporary"/>
    <w:basedOn w:val="13"/>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1">
    <w:name w:val="Table Elegant"/>
    <w:basedOn w:val="13"/>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2">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3">
    <w:name w:val="Table Grid 1"/>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4">
    <w:name w:val="Table Grid 2"/>
    <w:basedOn w:val="13"/>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5">
    <w:name w:val="Table Grid 3"/>
    <w:basedOn w:val="13"/>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6">
    <w:name w:val="Table Grid 4"/>
    <w:basedOn w:val="13"/>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7">
    <w:name w:val="Table Grid 5"/>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6"/>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7"/>
    <w:basedOn w:val="13"/>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20">
    <w:name w:val="Table Grid 8"/>
    <w:basedOn w:val="13"/>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1">
    <w:name w:val="Table List 1"/>
    <w:basedOn w:val="13"/>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2"/>
    <w:basedOn w:val="13"/>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3">
    <w:name w:val="Table List 3"/>
    <w:basedOn w:val="13"/>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4">
    <w:name w:val="Table List 4"/>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5">
    <w:name w:val="Table List 5"/>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6">
    <w:name w:val="Table List 6"/>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7">
    <w:name w:val="Table List 7"/>
    <w:basedOn w:val="13"/>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8">
    <w:name w:val="Table List 8"/>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9">
    <w:name w:val="table of authorities"/>
    <w:basedOn w:val="1"/>
    <w:next w:val="1"/>
    <w:qFormat/>
    <w:uiPriority w:val="0"/>
    <w:pPr>
      <w:ind w:left="420" w:leftChars="200"/>
    </w:pPr>
  </w:style>
  <w:style w:type="paragraph" w:styleId="130">
    <w:name w:val="table of figures"/>
    <w:basedOn w:val="1"/>
    <w:next w:val="1"/>
    <w:qFormat/>
    <w:uiPriority w:val="0"/>
    <w:pPr>
      <w:ind w:left="200" w:leftChars="200" w:hanging="200" w:hangingChars="200"/>
    </w:pPr>
  </w:style>
  <w:style w:type="table" w:styleId="131">
    <w:name w:val="Table Professional"/>
    <w:basedOn w:val="13"/>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2">
    <w:name w:val="Table Simple 1"/>
    <w:basedOn w:val="13"/>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3">
    <w:name w:val="Table Simple 2"/>
    <w:basedOn w:val="13"/>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4">
    <w:name w:val="Table Simple 3"/>
    <w:basedOn w:val="13"/>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5">
    <w:name w:val="Table Subtle 1"/>
    <w:basedOn w:val="13"/>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Subtle 2"/>
    <w:basedOn w:val="13"/>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7">
    <w:name w:val="Table Theme"/>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8">
    <w:name w:val="Table Web 1"/>
    <w:basedOn w:val="13"/>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2"/>
    <w:basedOn w:val="13"/>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40">
    <w:name w:val="Table Web 3"/>
    <w:basedOn w:val="13"/>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1">
    <w:name w:val="Title"/>
    <w:basedOn w:val="1"/>
    <w:qFormat/>
    <w:uiPriority w:val="0"/>
    <w:pPr>
      <w:spacing w:before="240" w:after="60"/>
      <w:jc w:val="center"/>
      <w:outlineLvl w:val="0"/>
    </w:pPr>
    <w:rPr>
      <w:rFonts w:ascii="Arial" w:hAnsi="Arial" w:cs="Arial"/>
      <w:b/>
      <w:bCs/>
      <w:sz w:val="32"/>
      <w:szCs w:val="32"/>
    </w:rPr>
  </w:style>
  <w:style w:type="paragraph" w:styleId="142">
    <w:name w:val="toa heading"/>
    <w:basedOn w:val="1"/>
    <w:next w:val="1"/>
    <w:qFormat/>
    <w:uiPriority w:val="0"/>
    <w:pPr>
      <w:spacing w:before="120"/>
    </w:pPr>
    <w:rPr>
      <w:rFonts w:ascii="Arial" w:hAnsi="Arial" w:cs="Arial"/>
      <w:szCs w:val="24"/>
    </w:rPr>
  </w:style>
  <w:style w:type="paragraph" w:styleId="143">
    <w:name w:val="toc 1"/>
    <w:basedOn w:val="1"/>
    <w:next w:val="1"/>
    <w:qFormat/>
    <w:uiPriority w:val="39"/>
  </w:style>
  <w:style w:type="paragraph" w:styleId="144">
    <w:name w:val="toc 2"/>
    <w:basedOn w:val="1"/>
    <w:next w:val="1"/>
    <w:qFormat/>
    <w:uiPriority w:val="39"/>
    <w:pPr>
      <w:ind w:left="420" w:leftChars="200"/>
    </w:pPr>
  </w:style>
  <w:style w:type="paragraph" w:styleId="145">
    <w:name w:val="toc 3"/>
    <w:basedOn w:val="1"/>
    <w:next w:val="1"/>
    <w:qFormat/>
    <w:uiPriority w:val="39"/>
    <w:pPr>
      <w:ind w:left="840" w:leftChars="400"/>
    </w:pPr>
  </w:style>
  <w:style w:type="paragraph" w:styleId="146">
    <w:name w:val="toc 4"/>
    <w:basedOn w:val="1"/>
    <w:next w:val="1"/>
    <w:qFormat/>
    <w:uiPriority w:val="0"/>
    <w:pPr>
      <w:ind w:left="1260" w:leftChars="600"/>
    </w:pPr>
  </w:style>
  <w:style w:type="paragraph" w:styleId="147">
    <w:name w:val="toc 5"/>
    <w:basedOn w:val="1"/>
    <w:next w:val="1"/>
    <w:qFormat/>
    <w:uiPriority w:val="0"/>
    <w:pPr>
      <w:ind w:left="1680" w:leftChars="800"/>
    </w:pPr>
  </w:style>
  <w:style w:type="paragraph" w:styleId="148">
    <w:name w:val="toc 6"/>
    <w:basedOn w:val="1"/>
    <w:next w:val="1"/>
    <w:qFormat/>
    <w:uiPriority w:val="0"/>
    <w:pPr>
      <w:ind w:left="2100" w:leftChars="1000"/>
    </w:pPr>
  </w:style>
  <w:style w:type="paragraph" w:styleId="149">
    <w:name w:val="toc 7"/>
    <w:basedOn w:val="1"/>
    <w:next w:val="1"/>
    <w:qFormat/>
    <w:uiPriority w:val="0"/>
    <w:pPr>
      <w:ind w:left="2520" w:leftChars="1200"/>
    </w:pPr>
  </w:style>
  <w:style w:type="paragraph" w:styleId="150">
    <w:name w:val="toc 8"/>
    <w:basedOn w:val="1"/>
    <w:next w:val="1"/>
    <w:qFormat/>
    <w:uiPriority w:val="0"/>
    <w:pPr>
      <w:ind w:left="2940" w:leftChars="1400"/>
    </w:pPr>
  </w:style>
  <w:style w:type="paragraph" w:styleId="151">
    <w:name w:val="toc 9"/>
    <w:basedOn w:val="1"/>
    <w:next w:val="1"/>
    <w:qFormat/>
    <w:uiPriority w:val="0"/>
    <w:pPr>
      <w:ind w:left="3360" w:leftChars="1600"/>
    </w:pPr>
  </w:style>
  <w:style w:type="table" w:styleId="152">
    <w:name w:val="Light Shading"/>
    <w:basedOn w:val="13"/>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3">
    <w:name w:val="Light Shading Accent 1"/>
    <w:basedOn w:val="13"/>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4">
    <w:name w:val="Light Shading Accent 2"/>
    <w:basedOn w:val="13"/>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5">
    <w:name w:val="Light Shading Accent 3"/>
    <w:basedOn w:val="13"/>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6">
    <w:name w:val="Light Shading Accent 4"/>
    <w:basedOn w:val="13"/>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7">
    <w:name w:val="Light Shading Accent 5"/>
    <w:basedOn w:val="13"/>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8">
    <w:name w:val="Light Shading Accent 6"/>
    <w:basedOn w:val="13"/>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9">
    <w:name w:val="Light List"/>
    <w:basedOn w:val="13"/>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60">
    <w:name w:val="Light List Accent 1"/>
    <w:basedOn w:val="13"/>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1">
    <w:name w:val="Light List Accent 2"/>
    <w:basedOn w:val="13"/>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2">
    <w:name w:val="Light List Accent 3"/>
    <w:basedOn w:val="13"/>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3">
    <w:name w:val="Light List Accent 4"/>
    <w:basedOn w:val="13"/>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4">
    <w:name w:val="Light List Accent 5"/>
    <w:basedOn w:val="13"/>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5">
    <w:name w:val="Light List Accent 6"/>
    <w:basedOn w:val="13"/>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6">
    <w:name w:val="Light Grid"/>
    <w:basedOn w:val="13"/>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7">
    <w:name w:val="Light Grid Accent 1"/>
    <w:basedOn w:val="13"/>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8">
    <w:name w:val="Light Grid Accent 2"/>
    <w:basedOn w:val="13"/>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9">
    <w:name w:val="Light Grid Accent 3"/>
    <w:basedOn w:val="13"/>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70">
    <w:name w:val="Light Grid Accent 4"/>
    <w:basedOn w:val="13"/>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1">
    <w:name w:val="Light Grid Accent 5"/>
    <w:basedOn w:val="13"/>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2">
    <w:name w:val="Light Grid Accent 6"/>
    <w:basedOn w:val="13"/>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3">
    <w:name w:val="Medium Shading 1"/>
    <w:basedOn w:val="13"/>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4">
    <w:name w:val="Medium Shading 1 Accent 1"/>
    <w:basedOn w:val="13"/>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5">
    <w:name w:val="Medium Shading 1 Accent 2"/>
    <w:basedOn w:val="13"/>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6">
    <w:name w:val="Medium Shading 1 Accent 3"/>
    <w:basedOn w:val="13"/>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7">
    <w:name w:val="Medium Shading 1 Accent 4"/>
    <w:basedOn w:val="13"/>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8">
    <w:name w:val="Medium Shading 1 Accent 5"/>
    <w:basedOn w:val="13"/>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9">
    <w:name w:val="Medium Shading 1 Accent 6"/>
    <w:basedOn w:val="13"/>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80">
    <w:name w:val="Medium Shading 2"/>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1"/>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2"/>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3"/>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4"/>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5"/>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Shading 2 Accent 6"/>
    <w:basedOn w:val="13"/>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7">
    <w:name w:val="Medium List 1"/>
    <w:basedOn w:val="13"/>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8">
    <w:name w:val="Medium List 1 Accent 1"/>
    <w:basedOn w:val="13"/>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9">
    <w:name w:val="Medium List 1 Accent 2"/>
    <w:basedOn w:val="13"/>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90">
    <w:name w:val="Medium List 1 Accent 3"/>
    <w:basedOn w:val="13"/>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1">
    <w:name w:val="Medium List 1 Accent 4"/>
    <w:basedOn w:val="13"/>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2">
    <w:name w:val="Medium List 1 Accent 5"/>
    <w:basedOn w:val="13"/>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3">
    <w:name w:val="Medium List 1 Accent 6"/>
    <w:basedOn w:val="13"/>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4">
    <w:name w:val="Medium List 2"/>
    <w:basedOn w:val="13"/>
    <w:qFormat/>
    <w:uiPriority w:val="66"/>
    <w:rPr>
      <w:rFonts w:ascii="宋体" w:hAnsi="宋体" w:eastAsia="Courier New"/>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5">
    <w:name w:val="Medium List 2 Accent 1"/>
    <w:basedOn w:val="13"/>
    <w:qFormat/>
    <w:uiPriority w:val="66"/>
    <w:rPr>
      <w:rFonts w:ascii="宋体" w:hAnsi="宋体" w:eastAsia="Courier New"/>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6">
    <w:name w:val="Medium List 2 Accent 2"/>
    <w:basedOn w:val="13"/>
    <w:qFormat/>
    <w:uiPriority w:val="66"/>
    <w:rPr>
      <w:rFonts w:ascii="宋体" w:hAnsi="宋体" w:eastAsia="Courier New"/>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7">
    <w:name w:val="Medium List 2 Accent 3"/>
    <w:basedOn w:val="13"/>
    <w:qFormat/>
    <w:uiPriority w:val="66"/>
    <w:rPr>
      <w:rFonts w:ascii="宋体" w:hAnsi="宋体" w:eastAsia="Courier New"/>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8">
    <w:name w:val="Medium List 2 Accent 4"/>
    <w:basedOn w:val="13"/>
    <w:qFormat/>
    <w:uiPriority w:val="66"/>
    <w:rPr>
      <w:rFonts w:ascii="宋体" w:hAnsi="宋体" w:eastAsia="Courier New"/>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9">
    <w:name w:val="Medium List 2 Accent 5"/>
    <w:basedOn w:val="13"/>
    <w:qFormat/>
    <w:uiPriority w:val="66"/>
    <w:rPr>
      <w:rFonts w:ascii="宋体" w:hAnsi="宋体" w:eastAsia="Courier New"/>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200">
    <w:name w:val="Medium List 2 Accent 6"/>
    <w:basedOn w:val="13"/>
    <w:qFormat/>
    <w:uiPriority w:val="66"/>
    <w:rPr>
      <w:rFonts w:ascii="宋体" w:hAnsi="宋体" w:eastAsia="Courier New"/>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1">
    <w:name w:val="Medium Grid 1"/>
    <w:basedOn w:val="13"/>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2">
    <w:name w:val="Medium Grid 1 Accent 1"/>
    <w:basedOn w:val="13"/>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3">
    <w:name w:val="Medium Grid 1 Accent 2"/>
    <w:basedOn w:val="13"/>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4">
    <w:name w:val="Medium Grid 1 Accent 3"/>
    <w:basedOn w:val="13"/>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5">
    <w:name w:val="Medium Grid 1 Accent 4"/>
    <w:basedOn w:val="13"/>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6">
    <w:name w:val="Medium Grid 1 Accent 5"/>
    <w:basedOn w:val="13"/>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7">
    <w:name w:val="Medium Grid 1 Accent 6"/>
    <w:basedOn w:val="13"/>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8">
    <w:name w:val="Medium Grid 2"/>
    <w:basedOn w:val="13"/>
    <w:qFormat/>
    <w:uiPriority w:val="68"/>
    <w:rPr>
      <w:rFonts w:ascii="宋体" w:hAnsi="宋体" w:eastAsia="Courier New"/>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9">
    <w:name w:val="Medium Grid 2 Accent 1"/>
    <w:basedOn w:val="13"/>
    <w:qFormat/>
    <w:uiPriority w:val="68"/>
    <w:rPr>
      <w:rFonts w:ascii="宋体" w:hAnsi="宋体" w:eastAsia="Courier New"/>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10">
    <w:name w:val="Medium Grid 2 Accent 2"/>
    <w:basedOn w:val="13"/>
    <w:qFormat/>
    <w:uiPriority w:val="68"/>
    <w:rPr>
      <w:rFonts w:ascii="宋体" w:hAnsi="宋体" w:eastAsia="Courier New"/>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1">
    <w:name w:val="Medium Grid 2 Accent 3"/>
    <w:basedOn w:val="13"/>
    <w:qFormat/>
    <w:uiPriority w:val="68"/>
    <w:rPr>
      <w:rFonts w:ascii="宋体" w:hAnsi="宋体" w:eastAsia="Courier New"/>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2">
    <w:name w:val="Medium Grid 2 Accent 4"/>
    <w:basedOn w:val="13"/>
    <w:qFormat/>
    <w:uiPriority w:val="68"/>
    <w:rPr>
      <w:rFonts w:ascii="宋体" w:hAnsi="宋体" w:eastAsia="Courier New"/>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3">
    <w:name w:val="Medium Grid 2 Accent 5"/>
    <w:basedOn w:val="13"/>
    <w:qFormat/>
    <w:uiPriority w:val="68"/>
    <w:rPr>
      <w:rFonts w:ascii="宋体" w:hAnsi="宋体" w:eastAsia="Courier New"/>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4">
    <w:name w:val="Medium Grid 2 Accent 6"/>
    <w:basedOn w:val="13"/>
    <w:qFormat/>
    <w:uiPriority w:val="68"/>
    <w:rPr>
      <w:rFonts w:ascii="宋体" w:hAnsi="宋体" w:eastAsia="Courier New"/>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5">
    <w:name w:val="Medium Grid 3"/>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6">
    <w:name w:val="Medium Grid 3 Accent 1"/>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7">
    <w:name w:val="Medium Grid 3 Accent 2"/>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8">
    <w:name w:val="Medium Grid 3 Accent 3"/>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9">
    <w:name w:val="Medium Grid 3 Accent 4"/>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20">
    <w:name w:val="Medium Grid 3 Accent 5"/>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1">
    <w:name w:val="Medium Grid 3 Accent 6"/>
    <w:basedOn w:val="13"/>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2">
    <w:name w:val="Dark List"/>
    <w:basedOn w:val="13"/>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3">
    <w:name w:val="Dark List Accent 1"/>
    <w:basedOn w:val="13"/>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4">
    <w:name w:val="Dark List Accent 2"/>
    <w:basedOn w:val="13"/>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5">
    <w:name w:val="Dark List Accent 3"/>
    <w:basedOn w:val="13"/>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6">
    <w:name w:val="Dark List Accent 4"/>
    <w:basedOn w:val="13"/>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7">
    <w:name w:val="Dark List Accent 5"/>
    <w:basedOn w:val="13"/>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8">
    <w:name w:val="Dark List Accent 6"/>
    <w:basedOn w:val="13"/>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9">
    <w:name w:val="Colorful Shading"/>
    <w:basedOn w:val="13"/>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30">
    <w:name w:val="Colorful Shading Accent 1"/>
    <w:basedOn w:val="13"/>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1">
    <w:name w:val="Colorful Shading Accent 2"/>
    <w:basedOn w:val="13"/>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2">
    <w:name w:val="Colorful Shading Accent 3"/>
    <w:basedOn w:val="13"/>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3">
    <w:name w:val="Colorful Shading Accent 4"/>
    <w:basedOn w:val="13"/>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4">
    <w:name w:val="Colorful Shading Accent 5"/>
    <w:basedOn w:val="13"/>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5">
    <w:name w:val="Colorful Shading Accent 6"/>
    <w:basedOn w:val="13"/>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6">
    <w:name w:val="Colorful List"/>
    <w:basedOn w:val="13"/>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7">
    <w:name w:val="Colorful List Accent 1"/>
    <w:basedOn w:val="13"/>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8">
    <w:name w:val="Colorful List Accent 2"/>
    <w:basedOn w:val="13"/>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9">
    <w:name w:val="Colorful List Accent 3"/>
    <w:basedOn w:val="13"/>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40">
    <w:name w:val="Colorful List Accent 4"/>
    <w:basedOn w:val="13"/>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1">
    <w:name w:val="Colorful List Accent 5"/>
    <w:basedOn w:val="13"/>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2">
    <w:name w:val="Colorful List Accent 6"/>
    <w:basedOn w:val="13"/>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3">
    <w:name w:val="Colorful Grid"/>
    <w:basedOn w:val="13"/>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4">
    <w:name w:val="Colorful Grid Accent 1"/>
    <w:basedOn w:val="13"/>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5">
    <w:name w:val="Colorful Grid Accent 2"/>
    <w:basedOn w:val="13"/>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6">
    <w:name w:val="Colorful Grid Accent 3"/>
    <w:basedOn w:val="13"/>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7">
    <w:name w:val="Colorful Grid Accent 4"/>
    <w:basedOn w:val="13"/>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8">
    <w:name w:val="Colorful Grid Accent 5"/>
    <w:basedOn w:val="13"/>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9">
    <w:name w:val="Colorful Grid Accent 6"/>
    <w:basedOn w:val="13"/>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50">
    <w:name w:val="正文"/>
    <w:basedOn w:val="1"/>
    <w:next w:val="1"/>
    <w:uiPriority w:val="0"/>
    <w:pPr>
      <w:spacing w:line="360" w:lineRule="auto"/>
      <w:ind w:firstLine="398" w:firstLineChars="181"/>
      <w:jc w:val="both"/>
    </w:pPr>
    <w:rPr>
      <w:rFonts w:hint="default" w:ascii="Times New Roman" w:hAnsi="Times New Roman" w:eastAsia="SimSun" w:cs="Times New Roman"/>
      <w:sz w:val="24"/>
      <w:szCs w:val="24"/>
      <w:lang w:bidi="ar"/>
    </w:rPr>
  </w:style>
  <w:style w:type="paragraph" w:customStyle="1" w:styleId="251">
    <w:name w:val="正文2"/>
    <w:basedOn w:val="1"/>
    <w:next w:val="1"/>
    <w:uiPriority w:val="0"/>
    <w:pPr>
      <w:spacing w:line="360" w:lineRule="auto"/>
      <w:ind w:firstLine="398" w:firstLineChars="181"/>
      <w:jc w:val="both"/>
    </w:pPr>
    <w:rPr>
      <w:szCs w:val="24"/>
    </w:rPr>
  </w:style>
  <w:style w:type="paragraph" w:customStyle="1" w:styleId="252">
    <w:name w:val="一级标题"/>
    <w:qFormat/>
    <w:uiPriority w:val="0"/>
    <w:pPr>
      <w:spacing w:before="120" w:after="120" w:line="320" w:lineRule="exact"/>
      <w:outlineLvl w:val="0"/>
    </w:pPr>
    <w:rPr>
      <w:rFonts w:ascii="Times New Roman" w:hAnsi="Times New Roman" w:eastAsia="黑体" w:cs="宋体"/>
      <w:b/>
      <w:bCs/>
      <w:sz w:val="24"/>
      <w:lang w:val="en-US" w:eastAsia="zh-CN" w:bidi="ar-SA"/>
    </w:rPr>
  </w:style>
  <w:style w:type="paragraph" w:customStyle="1" w:styleId="253">
    <w:name w:val="TOC 标题1"/>
    <w:basedOn w:val="2"/>
    <w:next w:val="1"/>
    <w:unhideWhenUsed/>
    <w:qFormat/>
    <w:uiPriority w:val="39"/>
    <w:pPr>
      <w:keepNext/>
      <w:keepLines/>
      <w:spacing w:before="24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254">
    <w:name w:val="Unresolved Mention"/>
    <w:basedOn w:val="1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16828</Words>
  <Characters>24598</Characters>
  <Lines>269</Lines>
  <Paragraphs>75</Paragraphs>
  <TotalTime>0</TotalTime>
  <ScaleCrop>false</ScaleCrop>
  <LinksUpToDate>false</LinksUpToDate>
  <CharactersWithSpaces>26532</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2024-03-24T06:39:00Z</dcterms:created>
  <dc:creator>alan</dc:creator>
  <cp:lastModifiedBy>alan</cp:lastModifiedBy>
  <dcterms:modified xsi:type="dcterms:W3CDTF">2024-06-05T02:59:25Z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