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240" w:leftChars="-100" w:firstLine="198" w:firstLineChars="55"/>
        <w:jc w:val="center"/>
        <w:rPr>
          <w:rFonts w:ascii="楷体" w:hAnsi="楷体" w:eastAsia="楷体" w:cs="楷体"/>
          <w:sz w:val="28"/>
          <w:szCs w:val="28"/>
          <w:lang w:bidi="ar"/>
        </w:rPr>
      </w:pPr>
      <w:r>
        <w:rPr>
          <w:rFonts w:hint="eastAsia" w:ascii="黑体" w:hAnsi="黑体" w:eastAsia="黑体" w:cs="黑体"/>
          <w:sz w:val="36"/>
          <w:szCs w:val="36"/>
          <w:lang w:bidi="ar"/>
        </w:rPr>
        <w:t>基于不同催化剂的</w:t>
      </w:r>
      <w:r>
        <w:rPr>
          <w:rFonts w:eastAsia="黑体" w:cs="Times New Roman"/>
          <w:sz w:val="36"/>
          <w:szCs w:val="36"/>
          <w:lang w:bidi="ar"/>
        </w:rPr>
        <w:t>SCR</w:t>
      </w:r>
      <w:r>
        <w:rPr>
          <w:rFonts w:hint="eastAsia" w:ascii="黑体" w:hAnsi="黑体" w:eastAsia="黑体" w:cs="黑体"/>
          <w:sz w:val="36"/>
          <w:szCs w:val="36"/>
          <w:lang w:bidi="ar"/>
        </w:rPr>
        <w:t>脱硝技术研究现状与发展趋势</w:t>
      </w:r>
    </w:p>
    <w:p>
      <w:pPr>
        <w:jc w:val="center"/>
        <w:rPr>
          <w:rFonts w:ascii="楷体_GB2312" w:hAnsi="楷体_GB2312" w:eastAsia="楷体_GB2312" w:cs="楷体_GB2312"/>
          <w:sz w:val="28"/>
          <w:szCs w:val="28"/>
          <w:vertAlign w:val="superscript"/>
          <w:lang w:bidi="ar"/>
        </w:rPr>
      </w:pPr>
      <w:r>
        <w:rPr>
          <w:rFonts w:hint="eastAsia" w:ascii="楷体_GB2312" w:hAnsi="楷体_GB2312" w:eastAsia="楷体_GB2312" w:cs="楷体_GB2312"/>
          <w:sz w:val="28"/>
          <w:szCs w:val="28"/>
          <w:lang w:bidi="ar"/>
        </w:rPr>
        <w:t>陈尊来，孙源泽，王楚轩</w:t>
      </w:r>
    </w:p>
    <w:p>
      <w:pPr>
        <w:spacing w:line="360" w:lineRule="auto"/>
        <w:jc w:val="center"/>
        <w:rPr>
          <w:rFonts w:ascii="楷体_GB2312" w:hAnsi="楷体_GB2312" w:eastAsia="楷体_GB2312" w:cs="楷体_GB2312"/>
          <w:sz w:val="21"/>
          <w:szCs w:val="21"/>
          <w:lang w:bidi="ar"/>
        </w:rPr>
      </w:pPr>
      <w:r>
        <w:rPr>
          <w:rFonts w:hint="eastAsia" w:ascii="楷体_GB2312" w:hAnsi="楷体_GB2312" w:eastAsia="楷体_GB2312" w:cs="楷体_GB2312"/>
          <w:sz w:val="21"/>
          <w:szCs w:val="21"/>
          <w:lang w:bidi="ar"/>
        </w:rPr>
        <w:t>（南京林业大学 材料与工程学院，江苏 南京 210037）</w:t>
      </w:r>
    </w:p>
    <w:p>
      <w:pPr>
        <w:spacing w:line="360" w:lineRule="auto"/>
        <w:jc w:val="center"/>
        <w:rPr>
          <w:rFonts w:ascii="楷体_GB2312" w:hAnsi="楷体_GB2312" w:eastAsia="楷体_GB2312" w:cs="楷体_GB2312"/>
          <w:sz w:val="21"/>
          <w:szCs w:val="21"/>
          <w:lang w:bidi="ar"/>
        </w:rPr>
      </w:pPr>
    </w:p>
    <w:p>
      <w:pPr>
        <w:spacing w:line="360" w:lineRule="auto"/>
        <w:jc w:val="both"/>
        <w:rPr>
          <w:rFonts w:hint="eastAsia" w:eastAsia="楷体" w:cs="楷体_GB2312"/>
          <w:szCs w:val="24"/>
          <w:lang w:val="en-US" w:eastAsia="zh-CN" w:bidi="ar"/>
        </w:rPr>
      </w:pPr>
      <w:r>
        <w:rPr>
          <w:rFonts w:hint="eastAsia" w:eastAsia="黑体"/>
        </w:rPr>
        <w:t>摘  要：</w:t>
      </w:r>
      <w:r>
        <w:rPr>
          <w:rFonts w:hint="eastAsia" w:eastAsia="楷体" w:cs="楷体_GB2312"/>
          <w:szCs w:val="24"/>
          <w:lang w:bidi="ar"/>
        </w:rPr>
        <w:t>燃煤电站锅炉燃烧会产生大量的NO</w:t>
      </w:r>
      <w:r>
        <w:rPr>
          <w:rFonts w:hint="eastAsia" w:eastAsia="楷体" w:cs="楷体_GB2312"/>
          <w:szCs w:val="24"/>
          <w:vertAlign w:val="subscript"/>
          <w:lang w:bidi="ar"/>
        </w:rPr>
        <w:t>x</w:t>
      </w:r>
      <w:r>
        <w:rPr>
          <w:rFonts w:hint="eastAsia" w:eastAsia="楷体" w:cs="楷体_GB2312"/>
          <w:szCs w:val="24"/>
          <w:lang w:bidi="ar"/>
        </w:rPr>
        <w:t>等污染物，因此广泛采用NH</w:t>
      </w:r>
      <w:r>
        <w:rPr>
          <w:rFonts w:hint="eastAsia" w:eastAsia="楷体" w:cs="楷体_GB2312"/>
          <w:szCs w:val="24"/>
          <w:vertAlign w:val="subscript"/>
          <w:lang w:bidi="ar"/>
        </w:rPr>
        <w:t>3</w:t>
      </w:r>
      <w:r>
        <w:rPr>
          <w:rFonts w:hint="eastAsia" w:eastAsia="楷体" w:cs="楷体_GB2312"/>
          <w:szCs w:val="24"/>
          <w:lang w:bidi="ar"/>
        </w:rPr>
        <w:t>-SCR反应通过催化剂使NH</w:t>
      </w:r>
      <w:r>
        <w:rPr>
          <w:rFonts w:hint="eastAsia" w:eastAsia="楷体" w:cs="楷体_GB2312"/>
          <w:szCs w:val="24"/>
          <w:vertAlign w:val="subscript"/>
          <w:lang w:bidi="ar"/>
        </w:rPr>
        <w:t>3</w:t>
      </w:r>
      <w:r>
        <w:rPr>
          <w:rFonts w:hint="eastAsia" w:eastAsia="楷体" w:cs="楷体_GB2312"/>
          <w:szCs w:val="24"/>
          <w:lang w:bidi="ar"/>
        </w:rPr>
        <w:t>与烟气中的NO</w:t>
      </w:r>
      <w:r>
        <w:rPr>
          <w:rFonts w:hint="eastAsia" w:eastAsia="楷体" w:cs="楷体_GB2312"/>
          <w:szCs w:val="24"/>
          <w:vertAlign w:val="subscript"/>
          <w:lang w:bidi="ar"/>
        </w:rPr>
        <w:t>x</w:t>
      </w:r>
      <w:r>
        <w:rPr>
          <w:rFonts w:hint="eastAsia" w:eastAsia="楷体" w:cs="楷体_GB2312"/>
          <w:szCs w:val="24"/>
          <w:lang w:bidi="ar"/>
        </w:rPr>
        <w:t>发生氧化还原反应，转化为N</w:t>
      </w:r>
      <w:r>
        <w:rPr>
          <w:rFonts w:hint="eastAsia" w:eastAsia="楷体" w:cs="楷体_GB2312"/>
          <w:szCs w:val="24"/>
          <w:vertAlign w:val="subscript"/>
          <w:lang w:bidi="ar"/>
        </w:rPr>
        <w:t>2</w:t>
      </w:r>
      <w:r>
        <w:rPr>
          <w:rFonts w:hint="eastAsia" w:eastAsia="楷体" w:cs="楷体_GB2312"/>
          <w:szCs w:val="24"/>
          <w:lang w:bidi="ar"/>
        </w:rPr>
        <w:t>和H</w:t>
      </w:r>
      <w:r>
        <w:rPr>
          <w:rFonts w:hint="eastAsia" w:eastAsia="楷体" w:cs="楷体_GB2312"/>
          <w:szCs w:val="24"/>
          <w:vertAlign w:val="subscript"/>
          <w:lang w:bidi="ar"/>
        </w:rPr>
        <w:t>2</w:t>
      </w:r>
      <w:r>
        <w:rPr>
          <w:rFonts w:hint="eastAsia" w:eastAsia="楷体" w:cs="楷体_GB2312"/>
          <w:szCs w:val="24"/>
          <w:lang w:bidi="ar"/>
        </w:rPr>
        <w:t>O以净化烟气。本文介绍了多种催化剂及其影响因素，包括钒基脱硝催化剂、锰基催化剂、铈基催化剂。其中目前广泛商用的钒基脱硝催化剂以V</w:t>
      </w:r>
      <w:r>
        <w:rPr>
          <w:rFonts w:hint="eastAsia" w:eastAsia="楷体" w:cs="楷体_GB2312"/>
          <w:szCs w:val="24"/>
          <w:vertAlign w:val="subscript"/>
          <w:lang w:bidi="ar"/>
        </w:rPr>
        <w:t>2</w:t>
      </w:r>
      <w:r>
        <w:rPr>
          <w:rFonts w:hint="eastAsia" w:eastAsia="楷体" w:cs="楷体_GB2312"/>
          <w:szCs w:val="24"/>
          <w:lang w:bidi="ar"/>
        </w:rPr>
        <w:t>O</w:t>
      </w:r>
      <w:r>
        <w:rPr>
          <w:rFonts w:hint="eastAsia" w:eastAsia="楷体" w:cs="楷体_GB2312"/>
          <w:szCs w:val="24"/>
          <w:vertAlign w:val="subscript"/>
          <w:lang w:bidi="ar"/>
        </w:rPr>
        <w:t>5</w:t>
      </w:r>
      <w:r>
        <w:rPr>
          <w:rFonts w:hint="eastAsia" w:eastAsia="楷体" w:cs="楷体_GB2312"/>
          <w:szCs w:val="24"/>
          <w:lang w:bidi="ar"/>
        </w:rPr>
        <w:t>为主要活性组分，存在毒性和操作温度高等缺点，但可通过改进结构来提高低温催化活性。锰基催化剂在低温脱硝领域具有较高的催化活性和广阔的应用前景。具有优异的氧储存和释放能力、价态转换能力、氧化还原能力以及丰富的氧空位。铈基脱硝催化剂表现出较好的低温催化活性，因此也为NO</w:t>
      </w:r>
      <w:r>
        <w:rPr>
          <w:rFonts w:hint="eastAsia" w:eastAsia="楷体" w:cs="楷体_GB2312"/>
          <w:szCs w:val="24"/>
          <w:vertAlign w:val="subscript"/>
          <w:lang w:bidi="ar"/>
        </w:rPr>
        <w:t>x</w:t>
      </w:r>
      <w:r>
        <w:rPr>
          <w:rFonts w:hint="eastAsia" w:eastAsia="楷体" w:cs="楷体_GB2312"/>
          <w:szCs w:val="24"/>
          <w:lang w:bidi="ar"/>
        </w:rPr>
        <w:t>催化还原研究的重点之一。</w:t>
      </w:r>
      <w:r>
        <w:rPr>
          <w:rFonts w:hint="eastAsia" w:eastAsia="楷体" w:cs="楷体_GB2312"/>
          <w:szCs w:val="24"/>
          <w:lang w:eastAsia="zh-CN" w:bidi="ar"/>
        </w:rPr>
        <w:t>同时，</w:t>
      </w:r>
      <w:r>
        <w:rPr>
          <w:rFonts w:hint="eastAsia" w:eastAsia="楷体" w:cs="楷体_GB2312"/>
          <w:szCs w:val="24"/>
          <w:lang w:val="en-US" w:eastAsia="zh-CN" w:bidi="ar"/>
        </w:rPr>
        <w:t>SCR催化剂系统普遍面临催化剂磨损、烧结失活、堵塞和中毒等问题，这些问题降低了其脱硝效率和使用寿命。</w:t>
      </w:r>
    </w:p>
    <w:p>
      <w:pPr>
        <w:jc w:val="both"/>
        <w:rPr>
          <w:rFonts w:ascii="宋体" w:hAnsi="宋体" w:cs="宋体"/>
          <w:sz w:val="22"/>
          <w:szCs w:val="22"/>
          <w:lang w:bidi="ar"/>
        </w:rPr>
      </w:pPr>
    </w:p>
    <w:p>
      <w:pPr>
        <w:jc w:val="both"/>
        <w:rPr>
          <w:rFonts w:eastAsia="楷体" w:cs="楷体_GB2312"/>
          <w:szCs w:val="24"/>
          <w:lang w:bidi="ar"/>
        </w:rPr>
      </w:pPr>
      <w:r>
        <w:rPr>
          <w:rFonts w:hint="eastAsia" w:eastAsia="黑体"/>
        </w:rPr>
        <w:t>关键词：</w:t>
      </w:r>
      <w:r>
        <w:rPr>
          <w:rFonts w:eastAsia="楷体" w:cs="Times New Roman"/>
          <w:szCs w:val="24"/>
          <w:lang w:bidi="ar"/>
        </w:rPr>
        <w:t>SCR</w:t>
      </w:r>
      <w:r>
        <w:rPr>
          <w:rFonts w:hint="eastAsia" w:eastAsia="楷体" w:cs="楷体_GB2312"/>
          <w:szCs w:val="24"/>
          <w:lang w:bidi="ar"/>
        </w:rPr>
        <w:t>烟气脱硝系统；</w:t>
      </w:r>
      <w:r>
        <w:rPr>
          <w:rFonts w:eastAsia="楷体" w:cs="Times New Roman"/>
          <w:szCs w:val="24"/>
          <w:lang w:bidi="ar"/>
        </w:rPr>
        <w:t>SCR</w:t>
      </w:r>
      <w:r>
        <w:rPr>
          <w:rFonts w:hint="eastAsia" w:eastAsia="楷体" w:cs="楷体_GB2312"/>
          <w:szCs w:val="24"/>
          <w:lang w:bidi="ar"/>
        </w:rPr>
        <w:t>催化剂；脱硝效率；催化技术</w:t>
      </w:r>
    </w:p>
    <w:p>
      <w:pPr>
        <w:jc w:val="both"/>
        <w:rPr>
          <w:rFonts w:ascii="楷体_GB2312" w:hAnsi="楷体_GB2312" w:eastAsia="楷体_GB2312" w:cs="楷体_GB2312"/>
          <w:szCs w:val="24"/>
          <w:lang w:bidi="ar"/>
        </w:rPr>
      </w:pPr>
    </w:p>
    <w:p>
      <w:pPr>
        <w:jc w:val="both"/>
        <w:rPr>
          <w:rFonts w:ascii="楷体_GB2312" w:hAnsi="楷体_GB2312" w:eastAsia="楷体_GB2312" w:cs="楷体_GB2312"/>
          <w:szCs w:val="24"/>
          <w:lang w:bidi="ar"/>
        </w:rPr>
      </w:pPr>
    </w:p>
    <w:p>
      <w:pPr>
        <w:spacing w:line="360" w:lineRule="auto"/>
        <w:ind w:left="-240" w:leftChars="-100" w:firstLine="198" w:firstLineChars="55"/>
        <w:jc w:val="center"/>
        <w:rPr>
          <w:rFonts w:eastAsia="楷体" w:cs="Times New Roman"/>
          <w:sz w:val="28"/>
          <w:szCs w:val="28"/>
          <w:lang w:bidi="ar"/>
        </w:rPr>
      </w:pPr>
      <w:r>
        <w:rPr>
          <w:rFonts w:eastAsia="黑体" w:cs="Times New Roman"/>
          <w:sz w:val="36"/>
          <w:szCs w:val="36"/>
          <w:lang w:bidi="ar"/>
        </w:rPr>
        <w:t>Research status and development trend of SCR denitration technology based on different catalysts</w:t>
      </w:r>
    </w:p>
    <w:p>
      <w:pPr>
        <w:jc w:val="center"/>
        <w:rPr>
          <w:rFonts w:eastAsia="楷体_GB2312" w:cs="Times New Roman"/>
          <w:sz w:val="28"/>
          <w:szCs w:val="28"/>
          <w:vertAlign w:val="superscript"/>
          <w:lang w:bidi="ar"/>
        </w:rPr>
      </w:pPr>
      <w:r>
        <w:rPr>
          <w:rFonts w:eastAsia="楷体_GB2312" w:cs="Times New Roman"/>
          <w:sz w:val="28"/>
          <w:szCs w:val="28"/>
          <w:lang w:bidi="ar"/>
        </w:rPr>
        <w:t>Cheng Zun-lai，Sun Yuan-ze，Wang Chu-xuan</w:t>
      </w:r>
    </w:p>
    <w:p>
      <w:pPr>
        <w:spacing w:line="360" w:lineRule="auto"/>
        <w:jc w:val="center"/>
        <w:rPr>
          <w:rFonts w:eastAsia="楷体_GB2312" w:cs="Times New Roman"/>
          <w:sz w:val="21"/>
          <w:szCs w:val="21"/>
          <w:lang w:bidi="ar"/>
        </w:rPr>
      </w:pPr>
      <w:r>
        <w:rPr>
          <w:rFonts w:eastAsia="楷体_GB2312" w:cs="Times New Roman"/>
          <w:sz w:val="21"/>
          <w:szCs w:val="21"/>
          <w:lang w:bidi="ar"/>
        </w:rPr>
        <w:t>（Nanjing Forestry University，College of Materials Science and Engineering，Jiangsu Nanjing 210037，China）</w:t>
      </w:r>
    </w:p>
    <w:p>
      <w:pPr>
        <w:pStyle w:val="17"/>
        <w:rPr>
          <w:lang w:bidi="ar"/>
        </w:rPr>
      </w:pPr>
    </w:p>
    <w:p>
      <w:pPr>
        <w:pStyle w:val="8"/>
        <w:ind w:firstLine="0" w:firstLineChars="0"/>
        <w:rPr>
          <w:rFonts w:eastAsia="楷体_GB2312"/>
          <w:lang w:bidi="ar"/>
        </w:rPr>
      </w:pPr>
      <w:r>
        <w:rPr>
          <w:rFonts w:eastAsia="黑体"/>
          <w:b/>
          <w:bCs/>
        </w:rPr>
        <w:t>Abstract</w:t>
      </w:r>
      <w:r>
        <w:rPr>
          <w:rFonts w:eastAsia="黑体"/>
        </w:rPr>
        <w:t>：</w:t>
      </w:r>
      <w:r>
        <w:rPr>
          <w:rFonts w:eastAsia="楷体_GB2312"/>
          <w:lang w:bidi="ar"/>
        </w:rPr>
        <w:t>Coal-fired power plant boilers produce a large amount of pollutants, which can be converted into harmless substances through the NH3-SCR reaction using catalysts. Vanadium-based catalysts have been found to have toxicity and high-temperature operation issues, while manganese-based catalysts exhibit high activity and have broad application prospects. Cerium-based catalysts are showing good activity at low temperatures. This article is discussing the factors influencing the efficiency of these catalysts.</w:t>
      </w:r>
      <w:r>
        <w:rPr>
          <w:rFonts w:eastAsia="楷体_GB2312"/>
          <w:lang w:val="en-US" w:eastAsia="zh-CN" w:bidi="ar"/>
        </w:rPr>
        <w:t>The SCR catalyst system commonly faces issues such as catalyst attrition, sintering deactivation, plugging, and poisoning, all of which reduce its denitrification efficiency and service life.</w:t>
      </w:r>
    </w:p>
    <w:p>
      <w:pPr>
        <w:rPr>
          <w:lang w:bidi="ar"/>
        </w:rPr>
      </w:pPr>
    </w:p>
    <w:p>
      <w:pPr>
        <w:jc w:val="both"/>
        <w:rPr>
          <w:rFonts w:ascii="楷体_GB2312" w:hAnsi="楷体_GB2312" w:eastAsia="楷体_GB2312" w:cs="楷体_GB2312"/>
          <w:szCs w:val="24"/>
          <w:lang w:bidi="ar"/>
        </w:rPr>
      </w:pPr>
      <w:r>
        <w:rPr>
          <w:rFonts w:hint="eastAsia" w:eastAsia="黑体"/>
          <w:b/>
          <w:bCs/>
        </w:rPr>
        <w:t>K</w:t>
      </w:r>
      <w:r>
        <w:rPr>
          <w:rFonts w:eastAsia="黑体"/>
          <w:b/>
          <w:bCs/>
        </w:rPr>
        <w:t>ey words</w:t>
      </w:r>
      <w:r>
        <w:rPr>
          <w:rFonts w:hint="eastAsia" w:eastAsia="黑体"/>
        </w:rPr>
        <w:t>：</w:t>
      </w:r>
      <w:r>
        <w:rPr>
          <w:rFonts w:eastAsia="楷体_GB2312" w:cs="Times New Roman"/>
          <w:szCs w:val="24"/>
          <w:lang w:bidi="ar"/>
        </w:rPr>
        <w:t>SCR flue gas denitration system; SCR catalyst; Denitration efficiency; Catalytic technology</w:t>
      </w:r>
    </w:p>
    <w:p>
      <w:pPr>
        <w:rPr>
          <w:lang w:bidi="ar"/>
        </w:rPr>
      </w:pPr>
    </w:p>
    <w:p>
      <w:pPr>
        <w:rPr>
          <w:lang w:bidi="ar"/>
        </w:rPr>
        <w:sectPr>
          <w:pgSz w:w="11906" w:h="16838"/>
          <w:pgMar w:top="1440" w:right="1506" w:bottom="1440" w:left="1800" w:header="720" w:footer="720" w:gutter="0"/>
          <w:cols w:space="720" w:num="1"/>
          <w:docGrid w:linePitch="360" w:charSpace="0"/>
        </w:sectPr>
      </w:pPr>
    </w:p>
    <w:p>
      <w:pPr>
        <w:pStyle w:val="17"/>
        <w:rPr>
          <w:sz w:val="24"/>
          <w:szCs w:val="24"/>
          <w:lang w:bidi="ar"/>
        </w:rPr>
      </w:pPr>
    </w:p>
    <w:p>
      <w:pPr>
        <w:pStyle w:val="17"/>
        <w:rPr>
          <w:rFonts w:ascii="黑体" w:hAnsi="黑体" w:cs="黑体"/>
          <w:sz w:val="24"/>
          <w:szCs w:val="24"/>
          <w:lang w:bidi="ar"/>
        </w:rPr>
      </w:pPr>
      <w:r>
        <w:rPr>
          <w:sz w:val="24"/>
          <w:szCs w:val="24"/>
          <w:lang w:bidi="ar"/>
        </w:rPr>
        <w:t>0</w:t>
      </w:r>
      <w:r>
        <w:rPr>
          <w:rFonts w:hint="eastAsia"/>
          <w:sz w:val="24"/>
          <w:szCs w:val="24"/>
          <w:lang w:bidi="ar"/>
        </w:rPr>
        <w:t xml:space="preserve">   </w:t>
      </w:r>
      <w:r>
        <w:rPr>
          <w:rFonts w:hint="eastAsia" w:ascii="黑体" w:hAnsi="黑体" w:cs="黑体"/>
          <w:sz w:val="24"/>
          <w:szCs w:val="24"/>
          <w:lang w:bidi="ar"/>
        </w:rPr>
        <w:t>引言</w:t>
      </w:r>
    </w:p>
    <w:p>
      <w:pPr>
        <w:jc w:val="both"/>
        <w:rPr>
          <w:rFonts w:ascii="宋体" w:hAnsi="宋体" w:cs="宋体"/>
          <w:sz w:val="18"/>
          <w:szCs w:val="18"/>
          <w:lang w:bidi="ar"/>
        </w:rPr>
      </w:pPr>
    </w:p>
    <w:p>
      <w:pPr>
        <w:pStyle w:val="8"/>
        <w:ind w:firstLine="400" w:firstLineChars="200"/>
        <w:rPr>
          <w:sz w:val="20"/>
          <w:szCs w:val="20"/>
          <w:lang w:bidi="ar"/>
        </w:rPr>
      </w:pPr>
      <w:r>
        <w:rPr>
          <w:rFonts w:hint="eastAsia"/>
          <w:sz w:val="20"/>
          <w:szCs w:val="20"/>
          <w:lang w:bidi="ar"/>
        </w:rPr>
        <w:t>氮氧化物（NO</w:t>
      </w:r>
      <w:r>
        <w:rPr>
          <w:rFonts w:hint="eastAsia"/>
          <w:sz w:val="20"/>
          <w:szCs w:val="20"/>
          <w:vertAlign w:val="subscript"/>
          <w:lang w:bidi="ar"/>
        </w:rPr>
        <w:t>x</w:t>
      </w:r>
      <w:r>
        <w:rPr>
          <w:rFonts w:hint="eastAsia"/>
          <w:sz w:val="20"/>
          <w:szCs w:val="20"/>
          <w:lang w:bidi="ar"/>
        </w:rPr>
        <w:t>）是大气中主要的污染物之一，产生许多环境问题。</w:t>
      </w:r>
      <w:r>
        <w:rPr>
          <w:rFonts w:hint="eastAsia"/>
          <w:sz w:val="20"/>
          <w:szCs w:val="20"/>
          <w:vertAlign w:val="superscript"/>
          <w:lang w:bidi="ar"/>
        </w:rPr>
        <w:fldChar w:fldCharType="begin"/>
      </w:r>
      <w:r>
        <w:rPr>
          <w:rFonts w:hint="eastAsia"/>
          <w:sz w:val="20"/>
          <w:szCs w:val="20"/>
          <w:vertAlign w:val="superscript"/>
          <w:lang w:bidi="ar"/>
        </w:rPr>
        <w:instrText xml:space="preserve"> REF _Ref1194606717 \r \h </w:instrText>
      </w:r>
      <w:r>
        <w:rPr>
          <w:rFonts w:hint="eastAsia"/>
          <w:sz w:val="20"/>
          <w:szCs w:val="20"/>
          <w:vertAlign w:val="superscript"/>
          <w:lang w:bidi="ar"/>
        </w:rPr>
        <w:fldChar w:fldCharType="separate"/>
      </w:r>
      <w:r>
        <w:rPr>
          <w:rFonts w:hint="eastAsia"/>
          <w:sz w:val="20"/>
          <w:szCs w:val="20"/>
          <w:vertAlign w:val="superscript"/>
          <w:lang w:bidi="ar"/>
        </w:rPr>
        <w:t>[1]</w:t>
      </w:r>
      <w:r>
        <w:rPr>
          <w:rFonts w:hint="eastAsia"/>
          <w:sz w:val="20"/>
          <w:szCs w:val="20"/>
          <w:vertAlign w:val="superscript"/>
          <w:lang w:bidi="ar"/>
        </w:rPr>
        <w:fldChar w:fldCharType="end"/>
      </w:r>
      <w:r>
        <w:rPr>
          <w:rFonts w:hint="eastAsia"/>
          <w:sz w:val="20"/>
          <w:szCs w:val="20"/>
          <w:lang w:bidi="ar"/>
        </w:rPr>
        <w:t>在脱硝技术中，氨选择性催化还原 (NH</w:t>
      </w:r>
      <w:r>
        <w:rPr>
          <w:rFonts w:hint="eastAsia"/>
          <w:sz w:val="20"/>
          <w:szCs w:val="20"/>
          <w:vertAlign w:val="subscript"/>
          <w:lang w:bidi="ar"/>
        </w:rPr>
        <w:t xml:space="preserve">3 </w:t>
      </w:r>
      <w:r>
        <w:rPr>
          <w:rFonts w:hint="eastAsia"/>
          <w:sz w:val="20"/>
          <w:szCs w:val="20"/>
          <w:lang w:bidi="ar"/>
        </w:rPr>
        <w:t>selective catalytic reduction，NH</w:t>
      </w:r>
      <w:r>
        <w:rPr>
          <w:rFonts w:hint="eastAsia"/>
          <w:sz w:val="20"/>
          <w:szCs w:val="20"/>
          <w:vertAlign w:val="subscript"/>
          <w:lang w:bidi="ar"/>
        </w:rPr>
        <w:t>3</w:t>
      </w:r>
      <w:r>
        <w:rPr>
          <w:rFonts w:hint="eastAsia"/>
          <w:sz w:val="20"/>
          <w:szCs w:val="20"/>
          <w:lang w:bidi="ar"/>
        </w:rPr>
        <w:t>-SCR) 脱除氮氧化物 (NO</w:t>
      </w:r>
      <w:r>
        <w:rPr>
          <w:rFonts w:hint="eastAsia"/>
          <w:sz w:val="20"/>
          <w:szCs w:val="20"/>
          <w:vertAlign w:val="subscript"/>
          <w:lang w:bidi="ar"/>
        </w:rPr>
        <w:t>x</w:t>
      </w:r>
      <w:r>
        <w:rPr>
          <w:rFonts w:hint="eastAsia"/>
          <w:sz w:val="20"/>
          <w:szCs w:val="20"/>
          <w:lang w:bidi="ar"/>
        </w:rPr>
        <w:t>) 技术具有效率高、运行稳定等优点，已广泛应用于各类大型工业连续排放源。NH3-SCR 技术关键为催化剂，其应用成本通常占 60%</w:t>
      </w:r>
      <w:r>
        <w:rPr>
          <w:rFonts w:hint="eastAsia"/>
          <w:sz w:val="20"/>
          <w:szCs w:val="20"/>
          <w:vertAlign w:val="superscript"/>
          <w:lang w:bidi="ar"/>
        </w:rPr>
        <w:fldChar w:fldCharType="begin"/>
      </w:r>
      <w:r>
        <w:rPr>
          <w:rFonts w:hint="eastAsia"/>
          <w:sz w:val="20"/>
          <w:szCs w:val="20"/>
          <w:vertAlign w:val="superscript"/>
          <w:lang w:bidi="ar"/>
        </w:rPr>
        <w:instrText xml:space="preserve"> REF _Ref746925727 \r \h </w:instrText>
      </w:r>
      <w:r>
        <w:rPr>
          <w:rFonts w:hint="eastAsia"/>
          <w:sz w:val="20"/>
          <w:szCs w:val="20"/>
          <w:vertAlign w:val="superscript"/>
          <w:lang w:bidi="ar"/>
        </w:rPr>
        <w:fldChar w:fldCharType="separate"/>
      </w:r>
      <w:r>
        <w:rPr>
          <w:rFonts w:hint="eastAsia"/>
          <w:sz w:val="20"/>
          <w:szCs w:val="20"/>
          <w:vertAlign w:val="superscript"/>
          <w:lang w:bidi="ar"/>
        </w:rPr>
        <w:t>[2]</w:t>
      </w:r>
      <w:r>
        <w:rPr>
          <w:rFonts w:hint="eastAsia"/>
          <w:sz w:val="20"/>
          <w:szCs w:val="20"/>
          <w:vertAlign w:val="superscript"/>
          <w:lang w:bidi="ar"/>
        </w:rPr>
        <w:fldChar w:fldCharType="end"/>
      </w:r>
      <w:r>
        <w:rPr>
          <w:rFonts w:hint="eastAsia"/>
          <w:sz w:val="20"/>
          <w:szCs w:val="20"/>
          <w:lang w:bidi="ar"/>
        </w:rPr>
        <w:t>，目前应用较成熟的是钒钛系催化剂（V</w:t>
      </w:r>
      <w:r>
        <w:rPr>
          <w:rFonts w:hint="eastAsia"/>
          <w:sz w:val="20"/>
          <w:szCs w:val="20"/>
          <w:vertAlign w:val="subscript"/>
          <w:lang w:bidi="ar"/>
        </w:rPr>
        <w:t>2</w:t>
      </w:r>
      <w:r>
        <w:rPr>
          <w:rFonts w:hint="eastAsia"/>
          <w:sz w:val="20"/>
          <w:szCs w:val="20"/>
          <w:lang w:bidi="ar"/>
        </w:rPr>
        <w:t>O</w:t>
      </w:r>
      <w:r>
        <w:rPr>
          <w:rFonts w:hint="eastAsia"/>
          <w:sz w:val="20"/>
          <w:szCs w:val="20"/>
          <w:vertAlign w:val="subscript"/>
          <w:lang w:bidi="ar"/>
        </w:rPr>
        <w:t>5</w:t>
      </w:r>
      <w:r>
        <w:rPr>
          <w:rFonts w:hint="eastAsia"/>
          <w:sz w:val="20"/>
          <w:szCs w:val="20"/>
          <w:lang w:bidi="ar"/>
        </w:rPr>
        <w:t>-WO</w:t>
      </w:r>
      <w:r>
        <w:rPr>
          <w:rFonts w:hint="eastAsia"/>
          <w:sz w:val="20"/>
          <w:szCs w:val="20"/>
          <w:vertAlign w:val="subscript"/>
          <w:lang w:bidi="ar"/>
        </w:rPr>
        <w:t>3</w:t>
      </w:r>
      <w:r>
        <w:rPr>
          <w:rFonts w:hint="eastAsia"/>
          <w:sz w:val="20"/>
          <w:szCs w:val="20"/>
          <w:lang w:bidi="ar"/>
        </w:rPr>
        <w:t>/TiO</w:t>
      </w:r>
      <w:r>
        <w:rPr>
          <w:rFonts w:hint="eastAsia"/>
          <w:sz w:val="20"/>
          <w:szCs w:val="20"/>
          <w:vertAlign w:val="subscript"/>
          <w:lang w:bidi="ar"/>
        </w:rPr>
        <w:t>2</w:t>
      </w:r>
      <w:r>
        <w:rPr>
          <w:rFonts w:hint="eastAsia"/>
          <w:sz w:val="20"/>
          <w:szCs w:val="20"/>
          <w:lang w:bidi="ar"/>
        </w:rPr>
        <w:t>）、锰铈催化剂（MnO</w:t>
      </w:r>
      <w:r>
        <w:rPr>
          <w:rFonts w:hint="eastAsia"/>
          <w:sz w:val="20"/>
          <w:szCs w:val="20"/>
          <w:vertAlign w:val="subscript"/>
          <w:lang w:bidi="ar"/>
        </w:rPr>
        <w:t>x</w:t>
      </w:r>
      <w:r>
        <w:rPr>
          <w:rFonts w:hint="eastAsia"/>
          <w:sz w:val="20"/>
          <w:szCs w:val="20"/>
          <w:lang w:bidi="ar"/>
        </w:rPr>
        <w:t>-CeO</w:t>
      </w:r>
      <w:r>
        <w:rPr>
          <w:rFonts w:hint="eastAsia"/>
          <w:sz w:val="20"/>
          <w:szCs w:val="20"/>
          <w:vertAlign w:val="subscript"/>
          <w:lang w:bidi="ar"/>
        </w:rPr>
        <w:t>2</w:t>
      </w:r>
      <w:r>
        <w:rPr>
          <w:rFonts w:hint="eastAsia"/>
          <w:sz w:val="20"/>
          <w:szCs w:val="20"/>
          <w:lang w:bidi="ar"/>
        </w:rPr>
        <w:t>）等。</w:t>
      </w:r>
    </w:p>
    <w:p>
      <w:pPr>
        <w:jc w:val="both"/>
        <w:rPr>
          <w:rFonts w:cs="Times New Roman"/>
          <w:sz w:val="18"/>
          <w:szCs w:val="18"/>
          <w:lang w:bidi="ar"/>
        </w:rPr>
      </w:pPr>
    </w:p>
    <w:p>
      <w:pPr>
        <w:pStyle w:val="17"/>
        <w:rPr>
          <w:sz w:val="24"/>
          <w:szCs w:val="24"/>
        </w:rPr>
      </w:pPr>
      <w:r>
        <w:rPr>
          <w:rFonts w:hint="eastAsia"/>
          <w:sz w:val="24"/>
          <w:szCs w:val="24"/>
        </w:rPr>
        <w:t>1   SCR催化剂脱硝机理</w:t>
      </w:r>
    </w:p>
    <w:p>
      <w:pPr>
        <w:jc w:val="both"/>
        <w:rPr>
          <w:rFonts w:cs="Times New Roman"/>
          <w:sz w:val="18"/>
          <w:szCs w:val="18"/>
          <w:lang w:bidi="ar"/>
        </w:rPr>
      </w:pPr>
    </w:p>
    <w:p>
      <w:pPr>
        <w:pStyle w:val="8"/>
        <w:ind w:firstLine="400" w:firstLineChars="200"/>
        <w:rPr>
          <w:sz w:val="20"/>
          <w:szCs w:val="20"/>
        </w:rPr>
      </w:pPr>
      <w:r>
        <w:rPr>
          <w:rFonts w:hint="eastAsia"/>
          <w:sz w:val="20"/>
          <w:szCs w:val="20"/>
        </w:rPr>
        <w:t>NH</w:t>
      </w:r>
      <w:r>
        <w:rPr>
          <w:rFonts w:hint="eastAsia"/>
          <w:sz w:val="20"/>
          <w:szCs w:val="20"/>
          <w:vertAlign w:val="subscript"/>
        </w:rPr>
        <w:t>3</w:t>
      </w:r>
      <w:r>
        <w:rPr>
          <w:rFonts w:hint="eastAsia"/>
          <w:sz w:val="20"/>
          <w:szCs w:val="20"/>
        </w:rPr>
        <w:t>-SCR 反应是指在催化剂的作用下，作为还原剂的NH</w:t>
      </w:r>
      <w:r>
        <w:rPr>
          <w:rFonts w:hint="eastAsia"/>
          <w:sz w:val="20"/>
          <w:szCs w:val="20"/>
          <w:vertAlign w:val="subscript"/>
        </w:rPr>
        <w:t>3</w:t>
      </w:r>
      <w:r>
        <w:rPr>
          <w:rFonts w:hint="eastAsia"/>
          <w:sz w:val="20"/>
          <w:szCs w:val="20"/>
        </w:rPr>
        <w:t>有选择性地与烟气中的NO</w:t>
      </w:r>
      <w:r>
        <w:rPr>
          <w:rFonts w:hint="eastAsia"/>
          <w:sz w:val="20"/>
          <w:szCs w:val="20"/>
          <w:vertAlign w:val="subscript"/>
        </w:rPr>
        <w:t>x</w:t>
      </w:r>
      <w:r>
        <w:rPr>
          <w:rFonts w:hint="eastAsia"/>
          <w:sz w:val="20"/>
          <w:szCs w:val="20"/>
        </w:rPr>
        <w:t>发生氧化还原反应，将NO</w:t>
      </w:r>
      <w:r>
        <w:rPr>
          <w:rFonts w:hint="eastAsia"/>
          <w:sz w:val="20"/>
          <w:szCs w:val="20"/>
          <w:vertAlign w:val="subscript"/>
        </w:rPr>
        <w:t>x</w:t>
      </w:r>
      <w:r>
        <w:rPr>
          <w:rFonts w:hint="eastAsia"/>
          <w:sz w:val="20"/>
          <w:szCs w:val="20"/>
        </w:rPr>
        <w:t>转化为N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和H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O，从而达到净化烟气的目的。此过程中主要发生的反应有：</w:t>
      </w:r>
    </w:p>
    <w:p>
      <w:pPr>
        <w:pStyle w:val="8"/>
        <w:ind w:firstLine="362"/>
        <w:rPr>
          <w:sz w:val="20"/>
          <w:szCs w:val="20"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sz w:val="20"/>
                  <w:szCs w:val="20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4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NH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+4NO+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O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→4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+6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H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 xml:space="preserve">O    </m:t>
                </m:r>
                <m:r>
                  <m:rPr>
                    <m:sty m:val="p"/>
                  </m:rPr>
                  <w:rPr>
                    <w:rFonts w:hint="default" w:ascii="DejaVu Math TeX Gyre" w:hAnsi="DejaVu Math TeX Gyre"/>
                    <w:sz w:val="20"/>
                    <w:szCs w:val="20"/>
                    <w:lang w:val="en-US" w:eastAsia="zh-C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 xml:space="preserve">   (1)</m:t>
                </m:r>
                <m:ctrlPr>
                  <w:rPr>
                    <w:rFonts w:ascii="DejaVu Math TeX Gyre" w:hAnsi="DejaVu Math TeX Gyre"/>
                    <w:sz w:val="20"/>
                    <w:szCs w:val="20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4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NH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NO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O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→3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+6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H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O      (2)</m:t>
                </m:r>
                <m:ctrlPr>
                  <w:rPr>
                    <w:rFonts w:ascii="DejaVu Math TeX Gyre" w:hAnsi="DejaVu Math TeX Gyre"/>
                    <w:sz w:val="20"/>
                    <w:szCs w:val="20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4N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H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3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+2NO+2N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O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→4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N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+6</m:t>
                </m:r>
                <m:sSub>
                  <m:sSubP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H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DejaVu Math TeX Gyre" w:hAnsi="DejaVu Math TeX Gyre"/>
                        <w:sz w:val="20"/>
                        <w:szCs w:val="20"/>
                      </w:rPr>
                      <m:t>2</m:t>
                    </m:r>
                    <m:ctrlPr>
                      <w:rPr>
                        <w:rFonts w:ascii="DejaVu Math TeX Gyre" w:hAnsi="DejaVu Math TeX Gyre"/>
                        <w:sz w:val="20"/>
                        <w:szCs w:val="20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DejaVu Math TeX Gyre" w:hAnsi="DejaVu Math TeX Gyre"/>
                    <w:sz w:val="20"/>
                    <w:szCs w:val="20"/>
                  </w:rPr>
                  <m:t>O   (3)</m:t>
                </m:r>
                <m:ctrlPr>
                  <w:rPr>
                    <w:rFonts w:ascii="DejaVu Math TeX Gyre" w:hAnsi="DejaVu Math TeX Gyre"/>
                    <w:sz w:val="20"/>
                    <w:szCs w:val="20"/>
                  </w:rPr>
                </m:ctrlPr>
              </m:e>
            </m:mr>
          </m:m>
        </m:oMath>
      </m:oMathPara>
    </w:p>
    <w:p>
      <w:pPr>
        <w:pStyle w:val="8"/>
        <w:ind w:firstLine="362"/>
        <w:rPr>
          <w:sz w:val="20"/>
          <w:szCs w:val="20"/>
        </w:rPr>
      </w:pPr>
      <w:r>
        <w:rPr>
          <w:rFonts w:hint="eastAsia"/>
          <w:sz w:val="20"/>
          <w:szCs w:val="20"/>
        </w:rPr>
        <w:t>其中，（1）式为标准NH</w:t>
      </w:r>
      <w:r>
        <w:rPr>
          <w:rFonts w:hint="eastAsia"/>
          <w:sz w:val="20"/>
          <w:szCs w:val="20"/>
          <w:vertAlign w:val="subscript"/>
        </w:rPr>
        <w:t>3</w:t>
      </w:r>
      <w:r>
        <w:rPr>
          <w:rFonts w:hint="eastAsia"/>
          <w:sz w:val="20"/>
          <w:szCs w:val="20"/>
        </w:rPr>
        <w:t>-SC</w:t>
      </w: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反应，（3）式为快速NH</w:t>
      </w:r>
      <w:r>
        <w:rPr>
          <w:rFonts w:hint="eastAsia"/>
          <w:sz w:val="20"/>
          <w:szCs w:val="20"/>
          <w:vertAlign w:val="subscript"/>
        </w:rPr>
        <w:t>3</w:t>
      </w:r>
      <w:r>
        <w:rPr>
          <w:rFonts w:hint="eastAsia"/>
          <w:sz w:val="20"/>
          <w:szCs w:val="20"/>
        </w:rPr>
        <w:t>-SC</w:t>
      </w:r>
      <w:r>
        <w:rPr>
          <w:sz w:val="20"/>
          <w:szCs w:val="20"/>
        </w:rPr>
        <w:t>R</w:t>
      </w:r>
      <w:r>
        <w:rPr>
          <w:rFonts w:hint="eastAsia"/>
          <w:sz w:val="20"/>
          <w:szCs w:val="20"/>
        </w:rPr>
        <w:t>反应。</w:t>
      </w:r>
    </w:p>
    <w:p>
      <w:pPr>
        <w:pStyle w:val="8"/>
        <w:ind w:firstLine="362"/>
        <w:rPr>
          <w:sz w:val="20"/>
          <w:szCs w:val="20"/>
        </w:rPr>
      </w:pPr>
      <w:r>
        <w:rPr>
          <w:rFonts w:hint="eastAsia"/>
          <w:sz w:val="20"/>
          <w:szCs w:val="20"/>
        </w:rPr>
        <w:t>催化剂是该技术的核心，而使用不同催化剂在发生催化反应过程中遵循的机理不尽相同，目前公认的NH</w:t>
      </w:r>
      <w:r>
        <w:rPr>
          <w:rFonts w:hint="eastAsia"/>
          <w:sz w:val="20"/>
          <w:szCs w:val="20"/>
          <w:vertAlign w:val="subscript"/>
        </w:rPr>
        <w:t>3</w:t>
      </w:r>
      <w:r>
        <w:rPr>
          <w:rFonts w:hint="eastAsia"/>
          <w:sz w:val="20"/>
          <w:szCs w:val="20"/>
        </w:rPr>
        <w:t>-SCR反应机理包括Eley-Ridel (E-R) 机理和Langmuir-Hinshelwood (L-H) 机理。 E-R机理是指一种反应物分子先吸附于催化剂表面被活化，其活化产物再与气相中的另一种反应物分子之间相互作用，使得烟气中的NO</w:t>
      </w:r>
      <w:r>
        <w:rPr>
          <w:rFonts w:hint="eastAsia"/>
          <w:sz w:val="20"/>
          <w:szCs w:val="20"/>
          <w:vertAlign w:val="subscript"/>
        </w:rPr>
        <w:t>x</w:t>
      </w:r>
      <w:r>
        <w:rPr>
          <w:rFonts w:hint="eastAsia"/>
          <w:sz w:val="20"/>
          <w:szCs w:val="20"/>
        </w:rPr>
        <w:t>以N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和H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O的形式排出。L</w:t>
      </w:r>
      <w:r>
        <w:rPr>
          <w:sz w:val="20"/>
          <w:szCs w:val="20"/>
        </w:rPr>
        <w:t>-H</w:t>
      </w:r>
      <w:r>
        <w:rPr>
          <w:rFonts w:hint="eastAsia"/>
          <w:sz w:val="20"/>
          <w:szCs w:val="20"/>
        </w:rPr>
        <w:t>机理是指 NO 与NH</w:t>
      </w:r>
      <w:r>
        <w:rPr>
          <w:rFonts w:hint="eastAsia"/>
          <w:sz w:val="20"/>
          <w:szCs w:val="20"/>
          <w:vertAlign w:val="subscript"/>
        </w:rPr>
        <w:t>3</w:t>
      </w:r>
      <w:r>
        <w:rPr>
          <w:rFonts w:hint="eastAsia"/>
          <w:sz w:val="20"/>
          <w:szCs w:val="20"/>
        </w:rPr>
        <w:t>分别吸附于催化剂的相邻活性位点上转变为活化状态，然后NO与NH</w:t>
      </w:r>
      <w:r>
        <w:rPr>
          <w:rFonts w:hint="eastAsia"/>
          <w:sz w:val="20"/>
          <w:szCs w:val="20"/>
          <w:vertAlign w:val="subscript"/>
        </w:rPr>
        <w:t>3</w:t>
      </w:r>
      <w:r>
        <w:rPr>
          <w:rFonts w:hint="eastAsia"/>
          <w:sz w:val="20"/>
          <w:szCs w:val="20"/>
        </w:rPr>
        <w:t>的活化产物之间发生反应，最终将NO分解转化为N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和H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O</w:t>
      </w:r>
      <w:r>
        <w:rPr>
          <w:rFonts w:hint="eastAsia"/>
          <w:sz w:val="20"/>
          <w:szCs w:val="20"/>
          <w:vertAlign w:val="superscript"/>
        </w:rPr>
        <w:fldChar w:fldCharType="begin"/>
      </w:r>
      <w:r>
        <w:rPr>
          <w:rFonts w:hint="eastAsia"/>
          <w:sz w:val="20"/>
          <w:szCs w:val="20"/>
          <w:vertAlign w:val="superscript"/>
        </w:rPr>
        <w:instrText xml:space="preserve"> REF _Ref959638868 \r \h </w:instrText>
      </w:r>
      <w:r>
        <w:rPr>
          <w:rFonts w:hint="eastAsia"/>
          <w:sz w:val="20"/>
          <w:szCs w:val="20"/>
          <w:vertAlign w:val="superscript"/>
        </w:rPr>
        <w:fldChar w:fldCharType="separate"/>
      </w:r>
      <w:r>
        <w:rPr>
          <w:rFonts w:hint="eastAsia"/>
          <w:sz w:val="20"/>
          <w:szCs w:val="20"/>
          <w:vertAlign w:val="superscript"/>
        </w:rPr>
        <w:t>[3]</w:t>
      </w:r>
      <w:r>
        <w:rPr>
          <w:rFonts w:hint="eastAsia"/>
          <w:sz w:val="20"/>
          <w:szCs w:val="20"/>
          <w:vertAlign w:val="superscript"/>
        </w:rPr>
        <w:fldChar w:fldCharType="end"/>
      </w:r>
      <w:r>
        <w:rPr>
          <w:rFonts w:hint="eastAsia"/>
          <w:sz w:val="20"/>
          <w:szCs w:val="20"/>
        </w:rPr>
        <w:t>。</w:t>
      </w:r>
    </w:p>
    <w:p>
      <w:pPr>
        <w:pStyle w:val="13"/>
        <w:rPr>
          <w:rFonts w:hint="default"/>
          <w:sz w:val="22"/>
          <w:szCs w:val="22"/>
        </w:rPr>
      </w:pPr>
    </w:p>
    <w:p>
      <w:pPr>
        <w:pStyle w:val="13"/>
        <w:rPr>
          <w:rFonts w:hint="default"/>
          <w:sz w:val="22"/>
          <w:szCs w:val="22"/>
        </w:rPr>
      </w:pPr>
      <w:r>
        <w:rPr>
          <w:sz w:val="22"/>
          <w:szCs w:val="22"/>
        </w:rPr>
        <w:t xml:space="preserve">1.1   </w:t>
      </w:r>
      <w:r>
        <w:rPr>
          <w:rFonts w:hint="default"/>
          <w:sz w:val="22"/>
          <w:szCs w:val="22"/>
        </w:rPr>
        <w:t>钒</w:t>
      </w:r>
      <w:r>
        <w:rPr>
          <w:sz w:val="22"/>
          <w:szCs w:val="22"/>
        </w:rPr>
        <w:t>基</w:t>
      </w:r>
      <w:r>
        <w:rPr>
          <w:rFonts w:hint="default"/>
          <w:sz w:val="22"/>
          <w:szCs w:val="22"/>
        </w:rPr>
        <w:t>脱硝催化剂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以V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>为主要活性组分的钒钛系脱硝催化剂是当前国内外SCR工艺的主流</w:t>
      </w:r>
      <w:r>
        <w:rPr>
          <w:rFonts w:hint="eastAsia"/>
          <w:sz w:val="20"/>
          <w:szCs w:val="20"/>
        </w:rPr>
        <w:t>商用</w:t>
      </w:r>
      <w:r>
        <w:rPr>
          <w:sz w:val="20"/>
          <w:szCs w:val="20"/>
        </w:rPr>
        <w:t>催化剂，它通常以TiO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、ZrO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、SiO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或碳基材料等为载体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_Ref1464531243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[4]</w:t>
      </w:r>
      <w:r>
        <w:rPr>
          <w:sz w:val="20"/>
          <w:szCs w:val="20"/>
          <w:vertAlign w:val="superscript"/>
        </w:rPr>
        <w:fldChar w:fldCharType="end"/>
      </w:r>
      <w:r>
        <w:rPr>
          <w:rFonts w:hint="eastAsia"/>
          <w:sz w:val="20"/>
          <w:szCs w:val="20"/>
        </w:rPr>
        <w:t>。但是V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O</w:t>
      </w:r>
      <w:r>
        <w:rPr>
          <w:rFonts w:hint="eastAsia"/>
          <w:sz w:val="20"/>
          <w:szCs w:val="20"/>
          <w:vertAlign w:val="subscript"/>
        </w:rPr>
        <w:t>5</w:t>
      </w:r>
      <w:r>
        <w:rPr>
          <w:rFonts w:hint="eastAsia"/>
          <w:sz w:val="20"/>
          <w:szCs w:val="20"/>
        </w:rPr>
        <w:t>催化剂存在较多缺点：钒毒性大、SO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易氧化、氧化NH</w:t>
      </w:r>
      <w:r>
        <w:rPr>
          <w:rFonts w:hint="eastAsia"/>
          <w:sz w:val="20"/>
          <w:szCs w:val="20"/>
          <w:vertAlign w:val="subscript"/>
        </w:rPr>
        <w:t>3</w:t>
      </w:r>
      <w:r>
        <w:rPr>
          <w:rFonts w:hint="eastAsia"/>
          <w:sz w:val="20"/>
          <w:szCs w:val="20"/>
        </w:rPr>
        <w:t>过度、操作温度高等。由于V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>O</w:t>
      </w:r>
      <w:r>
        <w:rPr>
          <w:rFonts w:hint="eastAsia"/>
          <w:sz w:val="20"/>
          <w:szCs w:val="20"/>
          <w:vertAlign w:val="subscript"/>
        </w:rPr>
        <w:t>5</w:t>
      </w:r>
      <w:r>
        <w:rPr>
          <w:rFonts w:hint="eastAsia"/>
          <w:sz w:val="20"/>
          <w:szCs w:val="20"/>
        </w:rPr>
        <w:t>催化剂的活性温度窗口相对较高（300-400℃），因此应该在烟气除尘和脱硫设备之前使用钒系催化剂，以避免废气再加热的昂贵成本。然而，在这种情况下，烟气中的催化剂容易因重金属、磷、碱、碱土金属和二氧化硫导致催化剂失活。此外，钢铁、玻璃和水泥厂的烟气温度低于传统钒基催化剂的工作温度。因此，研究人员一直致力于通过改进或改变催化剂的结构，如活性组分、载体和制备方法，来提高钒系催化剂的低温催化活性。</w:t>
      </w: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钒钛系脱硝催化剂使用的主要活性成分五氧化二钒（V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>）是一种高毒物质，对人体的呼吸系统和皮肤会产生严重损害。因此，</w:t>
      </w:r>
      <w:r>
        <w:rPr>
          <w:rFonts w:hint="eastAsia"/>
          <w:sz w:val="20"/>
          <w:szCs w:val="20"/>
        </w:rPr>
        <w:t>国家</w:t>
      </w:r>
      <w:r>
        <w:rPr>
          <w:sz w:val="20"/>
          <w:szCs w:val="20"/>
        </w:rPr>
        <w:t>对脱硝催化剂的使用管理提出了更加严格的要求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_Ref574686094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[5]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15"/>
        </w:rPr>
      </w:pPr>
    </w:p>
    <w:p>
      <w:pPr>
        <w:pStyle w:val="13"/>
        <w:rPr>
          <w:rFonts w:hint="default"/>
          <w:sz w:val="22"/>
          <w:szCs w:val="22"/>
        </w:rPr>
      </w:pPr>
      <w:r>
        <w:rPr>
          <w:sz w:val="22"/>
          <w:szCs w:val="22"/>
        </w:rPr>
        <w:t>1.2   锰基</w:t>
      </w:r>
      <w:r>
        <w:rPr>
          <w:rFonts w:hint="default"/>
          <w:sz w:val="22"/>
          <w:szCs w:val="22"/>
        </w:rPr>
        <w:t>脱硝催化剂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rFonts w:hint="eastAsia"/>
          <w:sz w:val="20"/>
          <w:szCs w:val="20"/>
        </w:rPr>
        <w:t>SCR脱硝催化剂诞生半个世纪之久，对其研发改进从未停止，但随着应用条件日益复杂，目前传统钒钛体系的SCR 催化剂难以满足实际应用要求，以Mn基催化剂为代表的低温SCR催化剂是替代钒基催化剂的方案之一。</w:t>
      </w:r>
    </w:p>
    <w:p>
      <w:pPr>
        <w:pStyle w:val="8"/>
        <w:ind w:firstLine="362"/>
        <w:rPr>
          <w:sz w:val="20"/>
          <w:szCs w:val="20"/>
        </w:rPr>
      </w:pPr>
      <w:r>
        <w:rPr>
          <w:rFonts w:hint="eastAsia"/>
          <w:sz w:val="20"/>
          <w:szCs w:val="20"/>
        </w:rPr>
        <w:t>对于 Mn 元素来说，其具有多种化合价（Mn</w:t>
      </w:r>
      <w:r>
        <w:rPr>
          <w:rFonts w:hint="eastAsia"/>
          <w:sz w:val="20"/>
          <w:szCs w:val="20"/>
          <w:vertAlign w:val="superscript"/>
        </w:rPr>
        <w:t>2+</w:t>
      </w:r>
      <w:r>
        <w:rPr>
          <w:rFonts w:hint="eastAsia"/>
          <w:sz w:val="20"/>
          <w:szCs w:val="20"/>
        </w:rPr>
        <w:t>、Mn</w:t>
      </w:r>
      <w:r>
        <w:rPr>
          <w:rFonts w:hint="eastAsia"/>
          <w:sz w:val="20"/>
          <w:szCs w:val="20"/>
          <w:vertAlign w:val="superscript"/>
        </w:rPr>
        <w:t>3+</w:t>
      </w:r>
      <w:r>
        <w:rPr>
          <w:rFonts w:hint="eastAsia"/>
          <w:sz w:val="20"/>
          <w:szCs w:val="20"/>
        </w:rPr>
        <w:t>、Mn</w:t>
      </w:r>
      <w:r>
        <w:rPr>
          <w:rFonts w:hint="eastAsia"/>
          <w:sz w:val="20"/>
          <w:szCs w:val="20"/>
          <w:vertAlign w:val="superscript"/>
        </w:rPr>
        <w:t>4+</w:t>
      </w:r>
      <w:r>
        <w:rPr>
          <w:rFonts w:hint="eastAsia"/>
          <w:sz w:val="20"/>
          <w:szCs w:val="20"/>
        </w:rPr>
        <w:t>等），可以形成多种稳定的氧化物。MnNO</w:t>
      </w:r>
      <w:r>
        <w:rPr>
          <w:rFonts w:hint="eastAsia"/>
          <w:sz w:val="20"/>
          <w:szCs w:val="20"/>
          <w:vertAlign w:val="subscript"/>
        </w:rPr>
        <w:t>x</w:t>
      </w:r>
      <w:r>
        <w:rPr>
          <w:rFonts w:hint="eastAsia"/>
          <w:sz w:val="20"/>
          <w:szCs w:val="20"/>
        </w:rPr>
        <w:t xml:space="preserve"> 在低温下具有较高的脱硝效率，但其 N</w:t>
      </w:r>
      <w:r>
        <w:rPr>
          <w:rFonts w:hint="eastAsia"/>
          <w:sz w:val="20"/>
          <w:szCs w:val="20"/>
          <w:vertAlign w:val="subscript"/>
        </w:rPr>
        <w:t>2</w:t>
      </w:r>
      <w:r>
        <w:rPr>
          <w:rFonts w:hint="eastAsia"/>
          <w:sz w:val="20"/>
          <w:szCs w:val="20"/>
        </w:rPr>
        <w:t xml:space="preserve"> 选择性和低温脱硝活性仍有待进一步提高，目前还无法实际应用。为了解决这一点研究者们进行了各种研究尝试。</w:t>
      </w:r>
    </w:p>
    <w:p>
      <w:pPr>
        <w:rPr>
          <w:sz w:val="20"/>
          <w:szCs w:val="15"/>
        </w:rPr>
      </w:pPr>
    </w:p>
    <w:p>
      <w:pPr>
        <w:pStyle w:val="15"/>
        <w:rPr>
          <w:rFonts w:hint="default"/>
          <w:sz w:val="21"/>
          <w:szCs w:val="21"/>
        </w:rPr>
      </w:pPr>
      <w:r>
        <w:rPr>
          <w:sz w:val="21"/>
          <w:szCs w:val="21"/>
        </w:rPr>
        <w:t>1.2.1   助剂的影响</w:t>
      </w:r>
    </w:p>
    <w:p>
      <w:pPr>
        <w:pStyle w:val="8"/>
        <w:ind w:firstLine="0" w:firstLineChars="0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掺杂过渡金属是一种常见的策略，可以改变催化剂中离子之间的结合方式，形成复合金属氧化物结构，从而优化催化剂的结构并提高其催化性能。目前常用的过渡金属包括Fe（铁）、Cu（铜）、Co（钴）、Cr（铬）、Ni（镍）、Ti（钛）等。这些过渡金属与锰基催化剂结合时可以产生协同效应，显著提高催化剂在低温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-SCR反应中的活性。因此，它们被广泛应用于低温NH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-SCR反应。</w:t>
      </w: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是一种常见的稀土金属类助剂，它能够生成丰富的活性氧物种和氧空位，这使得它在催化反应中表现出良好的催化活性和抗SO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性能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常被用作锰基催化剂的助剂</w:t>
      </w:r>
      <w:r>
        <w:rPr>
          <w:rFonts w:hint="eastAsia"/>
          <w:sz w:val="20"/>
          <w:szCs w:val="20"/>
        </w:rPr>
        <w:t>。</w:t>
      </w:r>
    </w:p>
    <w:p>
      <w:pPr>
        <w:rPr>
          <w:sz w:val="20"/>
          <w:szCs w:val="15"/>
        </w:rPr>
      </w:pPr>
    </w:p>
    <w:p>
      <w:pPr>
        <w:pStyle w:val="15"/>
        <w:rPr>
          <w:rFonts w:hint="default"/>
          <w:sz w:val="21"/>
          <w:szCs w:val="21"/>
        </w:rPr>
      </w:pPr>
      <w:r>
        <w:rPr>
          <w:sz w:val="21"/>
          <w:szCs w:val="21"/>
        </w:rPr>
        <w:t>1.2.2   制备方法的影响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锰基催化剂的制备方法包括共沉淀法、水热法、浸渍法和溶胶-凝胶法</w:t>
      </w:r>
      <w:r>
        <w:rPr>
          <w:rFonts w:hint="eastAsia"/>
          <w:sz w:val="20"/>
          <w:szCs w:val="20"/>
        </w:rPr>
        <w:t>等</w:t>
      </w:r>
      <w:r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为了得出制备方法之间的效果差别，研究者们进行了各种实验。</w:t>
      </w:r>
      <w:r>
        <w:rPr>
          <w:sz w:val="20"/>
          <w:szCs w:val="20"/>
        </w:rPr>
        <w:t>根据研究结果，溶胶-凝胶法制备的催化剂表现出最佳的活性和催化性能，共沉淀法制备的催化剂活性最差，而浸渍法和水热法的效果介于两者之间。</w:t>
      </w: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Jiang等</w:t>
      </w:r>
      <w:r>
        <w:rPr>
          <w:rFonts w:hint="eastAsia"/>
          <w:sz w:val="20"/>
          <w:szCs w:val="20"/>
        </w:rPr>
        <w:t>在此基础上进一步探索，</w:t>
      </w:r>
      <w:r>
        <w:rPr>
          <w:sz w:val="20"/>
          <w:szCs w:val="20"/>
        </w:rPr>
        <w:t>使用溶胶-凝胶法、浸渍法和共沉淀法制备了MnO</w:t>
      </w:r>
      <w:r>
        <w:rPr>
          <w:sz w:val="20"/>
          <w:szCs w:val="20"/>
          <w:vertAlign w:val="subscript"/>
        </w:rPr>
        <w:t>x</w:t>
      </w:r>
      <w:r>
        <w:rPr>
          <w:rFonts w:hint="eastAsia"/>
          <w:sz w:val="20"/>
          <w:szCs w:val="20"/>
        </w:rPr>
        <w:t>/</w:t>
      </w:r>
      <w:r>
        <w:rPr>
          <w:sz w:val="20"/>
          <w:szCs w:val="20"/>
        </w:rPr>
        <w:t>TiO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催化剂，发现溶胶-凝胶法制备的催化剂表现出最佳的选择性催化还原（SCR）活性和对二氧化硫（SO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）的抗性，其次是浸渍法和共沉淀法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_Ref1903871259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[6]</w:t>
      </w:r>
      <w:r>
        <w:rPr>
          <w:sz w:val="20"/>
          <w:szCs w:val="20"/>
          <w:vertAlign w:val="superscript"/>
        </w:rPr>
        <w:fldChar w:fldCharType="end"/>
      </w:r>
      <w:r>
        <w:rPr>
          <w:rFonts w:hint="eastAsia"/>
          <w:sz w:val="20"/>
          <w:szCs w:val="20"/>
        </w:rPr>
        <w:t>，印证了前者的结果。</w:t>
      </w: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Yao等采用了机械混合法、浸渍法、水热处理、共沉淀法和溶胶-凝胶法制备MnO</w:t>
      </w:r>
      <w:r>
        <w:rPr>
          <w:sz w:val="20"/>
          <w:szCs w:val="20"/>
          <w:vertAlign w:val="subscript"/>
        </w:rPr>
        <w:t>x</w:t>
      </w:r>
      <w:r>
        <w:rPr>
          <w:sz w:val="20"/>
          <w:szCs w:val="20"/>
        </w:rPr>
        <w:t>-CeO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催化剂，研究</w:t>
      </w:r>
      <w:r>
        <w:rPr>
          <w:rFonts w:hint="eastAsia"/>
          <w:sz w:val="20"/>
          <w:szCs w:val="20"/>
        </w:rPr>
        <w:t>得出了</w:t>
      </w:r>
      <w:r>
        <w:rPr>
          <w:sz w:val="20"/>
          <w:szCs w:val="20"/>
        </w:rPr>
        <w:t>制备方法对催化剂性能的影响</w:t>
      </w:r>
      <w:r>
        <w:rPr>
          <w:rFonts w:hint="eastAsia"/>
          <w:sz w:val="20"/>
          <w:szCs w:val="20"/>
        </w:rPr>
        <w:t>效果顺序</w:t>
      </w:r>
      <w:r>
        <w:rPr>
          <w:sz w:val="20"/>
          <w:szCs w:val="20"/>
        </w:rPr>
        <w:t>依次为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水热法＞溶胶-凝胶法＞共沉淀法＞浸渍法＞机械混合法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_Ref240977701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[7]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15"/>
        </w:rPr>
      </w:pPr>
    </w:p>
    <w:p>
      <w:pPr>
        <w:pStyle w:val="15"/>
        <w:rPr>
          <w:rFonts w:hint="default"/>
          <w:sz w:val="21"/>
          <w:szCs w:val="21"/>
        </w:rPr>
      </w:pPr>
      <w:r>
        <w:rPr>
          <w:sz w:val="21"/>
          <w:szCs w:val="21"/>
        </w:rPr>
        <w:t>1.2.3   载体的影响</w:t>
      </w:r>
    </w:p>
    <w:p>
      <w:pPr>
        <w:pStyle w:val="8"/>
        <w:ind w:firstLine="434"/>
      </w:pPr>
    </w:p>
    <w:p>
      <w:pPr>
        <w:pStyle w:val="8"/>
        <w:ind w:firstLine="362"/>
        <w:rPr>
          <w:sz w:val="20"/>
          <w:szCs w:val="20"/>
        </w:rPr>
      </w:pPr>
      <w:r>
        <w:rPr>
          <w:rFonts w:hint="eastAsia"/>
          <w:sz w:val="20"/>
          <w:szCs w:val="20"/>
        </w:rPr>
        <w:t>载体主要分为金属氧化物与炭基材料。</w:t>
      </w: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金属氧化物如TiO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和Al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作为载体具有高比表面积、丰富的酸性位点和良好的热稳定性的特点。它们能够有效分散活性组分，表现出较高的低温脱硝活性和强大的抗硫性。因此，在锰基催化剂中广泛应用这些金属氧化物作为优秀的催化剂载体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_Ref7584892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[8]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既可以作为助剂，也可以作为一种特殊的载体。它具有丰富的活性氧物种，可以将NO转化为硝酸盐中间体，从而提高脱硝效率</w:t>
      </w:r>
      <w:r>
        <w:rPr>
          <w:rFonts w:hint="eastAsia"/>
          <w:sz w:val="20"/>
          <w:szCs w:val="20"/>
        </w:rPr>
        <w:t>。</w:t>
      </w: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炭基材料如活性炭（AC）、碳纳米</w:t>
      </w:r>
      <w:r>
        <w:rPr>
          <w:rFonts w:hint="eastAsia"/>
          <w:sz w:val="20"/>
          <w:szCs w:val="20"/>
        </w:rPr>
        <w:t>管</w:t>
      </w:r>
      <w:r>
        <w:rPr>
          <w:sz w:val="20"/>
          <w:szCs w:val="20"/>
        </w:rPr>
        <w:t>（CNTs）、活性炭纤维（ACFs）和石墨烯（GE）等</w:t>
      </w:r>
      <w:r>
        <w:rPr>
          <w:rFonts w:hint="eastAsia"/>
          <w:sz w:val="20"/>
          <w:szCs w:val="20"/>
        </w:rPr>
        <w:t>也</w:t>
      </w:r>
      <w:r>
        <w:rPr>
          <w:sz w:val="20"/>
          <w:szCs w:val="20"/>
        </w:rPr>
        <w:t>被广泛应用作为催化剂载体。这些材料具有大比表面积、丰富的孔道结构、强吸附性和化学性质稳定等特点。它们在催化反应中能够提供丰富的酸性位点，表现出良好的低温SCR催化活性和抗SO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中毒性。因此，炭基材料作为催化剂载体在实际应用中得到了广泛的应用。</w:t>
      </w:r>
    </w:p>
    <w:p/>
    <w:p>
      <w:pPr>
        <w:pStyle w:val="15"/>
        <w:rPr>
          <w:rFonts w:hint="default"/>
          <w:sz w:val="21"/>
          <w:szCs w:val="21"/>
        </w:rPr>
      </w:pPr>
      <w:r>
        <w:rPr>
          <w:sz w:val="21"/>
          <w:szCs w:val="21"/>
        </w:rPr>
        <w:t>1.2.</w:t>
      </w:r>
      <w:r>
        <w:rPr>
          <w:rFonts w:hint="default"/>
          <w:sz w:val="21"/>
          <w:szCs w:val="21"/>
        </w:rPr>
        <w:t>4</w:t>
      </w:r>
      <w:r>
        <w:rPr>
          <w:sz w:val="21"/>
          <w:szCs w:val="21"/>
        </w:rPr>
        <w:t xml:space="preserve">   结构的影响</w:t>
      </w:r>
    </w:p>
    <w:p/>
    <w:p>
      <w:pPr>
        <w:pStyle w:val="8"/>
        <w:ind w:firstLine="362"/>
        <w:rPr>
          <w:sz w:val="20"/>
          <w:szCs w:val="20"/>
        </w:rPr>
      </w:pPr>
      <w:r>
        <w:rPr>
          <w:rFonts w:hint="eastAsia"/>
          <w:sz w:val="20"/>
          <w:szCs w:val="20"/>
        </w:rPr>
        <w:t>经研究得出，</w:t>
      </w:r>
      <w:r>
        <w:rPr>
          <w:sz w:val="20"/>
          <w:szCs w:val="20"/>
        </w:rPr>
        <w:t>改变锰基催化剂的形貌结构（如晶面、球形、管状、核壳形）</w:t>
      </w:r>
      <w:r>
        <w:rPr>
          <w:rFonts w:hint="eastAsia"/>
          <w:sz w:val="20"/>
          <w:szCs w:val="20"/>
        </w:rPr>
        <w:t>也</w:t>
      </w:r>
      <w:r>
        <w:rPr>
          <w:sz w:val="20"/>
          <w:szCs w:val="20"/>
        </w:rPr>
        <w:t>可以有效提高催化剂的比表面积，增加活性位点和氧物种的存在，提高N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的选择性，促进SCR反应的活性，</w:t>
      </w:r>
      <w:r>
        <w:rPr>
          <w:rFonts w:hint="eastAsia"/>
          <w:sz w:val="20"/>
          <w:szCs w:val="20"/>
        </w:rPr>
        <w:t>除此之外还可以</w:t>
      </w:r>
      <w:r>
        <w:rPr>
          <w:sz w:val="20"/>
          <w:szCs w:val="20"/>
        </w:rPr>
        <w:t>提高其抗中毒性。</w:t>
      </w:r>
    </w:p>
    <w:p>
      <w:pPr>
        <w:rPr>
          <w:sz w:val="20"/>
          <w:szCs w:val="15"/>
        </w:rPr>
      </w:pPr>
    </w:p>
    <w:p>
      <w:pPr>
        <w:pStyle w:val="13"/>
        <w:rPr>
          <w:rFonts w:hint="default"/>
          <w:sz w:val="22"/>
          <w:szCs w:val="22"/>
        </w:rPr>
      </w:pPr>
      <w:r>
        <w:rPr>
          <w:sz w:val="22"/>
          <w:szCs w:val="22"/>
        </w:rPr>
        <w:t>1.3   铈基脱硝催化剂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铈的氧化物在1803年首次被报道，并被命名为Ce</w:t>
      </w:r>
      <w:r>
        <w:rPr>
          <w:rFonts w:hint="eastAsia"/>
          <w:sz w:val="20"/>
          <w:szCs w:val="20"/>
        </w:rPr>
        <w:t>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_Ref577048350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[9]</w:t>
      </w:r>
      <w:r>
        <w:rPr>
          <w:sz w:val="20"/>
          <w:szCs w:val="20"/>
          <w:vertAlign w:val="superscript"/>
        </w:rPr>
        <w:fldChar w:fldCharType="end"/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Ce</w:t>
      </w:r>
      <w:r>
        <w:rPr>
          <w:sz w:val="20"/>
          <w:szCs w:val="20"/>
          <w:vertAlign w:val="superscript"/>
        </w:rPr>
        <w:t>4+</w:t>
      </w:r>
      <w:r>
        <w:rPr>
          <w:sz w:val="20"/>
          <w:szCs w:val="20"/>
        </w:rPr>
        <w:t>与Ce</w:t>
      </w:r>
      <w:r>
        <w:rPr>
          <w:sz w:val="20"/>
          <w:szCs w:val="20"/>
          <w:vertAlign w:val="superscript"/>
        </w:rPr>
        <w:t>3+</w:t>
      </w:r>
      <w:r>
        <w:rPr>
          <w:sz w:val="20"/>
          <w:szCs w:val="20"/>
        </w:rPr>
        <w:t>之间的转化伴随着氧缺陷的形成与消除，使得CeO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具有良好的储放氧能力、价态转换能力、氧化还原能力以及丰富的氧空位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_Ref641617518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[10]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其</w:t>
      </w:r>
      <w:r>
        <w:rPr>
          <w:sz w:val="20"/>
          <w:szCs w:val="20"/>
        </w:rPr>
        <w:t>表现出较好的低温催化活性，因此成为</w:t>
      </w:r>
      <w:r>
        <w:rPr>
          <w:rFonts w:hint="eastAsia"/>
          <w:sz w:val="20"/>
          <w:szCs w:val="20"/>
        </w:rPr>
        <w:t>NO</w:t>
      </w:r>
      <w:r>
        <w:rPr>
          <w:rFonts w:hint="eastAsia"/>
          <w:sz w:val="20"/>
          <w:szCs w:val="20"/>
          <w:vertAlign w:val="subscript"/>
        </w:rPr>
        <w:t>x</w:t>
      </w:r>
      <w:r>
        <w:rPr>
          <w:rFonts w:hint="eastAsia"/>
          <w:sz w:val="20"/>
          <w:szCs w:val="20"/>
        </w:rPr>
        <w:t>催化还原</w:t>
      </w:r>
      <w:r>
        <w:rPr>
          <w:sz w:val="20"/>
          <w:szCs w:val="20"/>
        </w:rPr>
        <w:t>研究的重点。目前，CeO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的研究重点主要集中在可控制备形貌、选择性暴露晶面和优化制备方法上，旨在改善CeO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催化剂的催化活性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_Ref521194583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[11]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的氧化还原性能、储氧释氧能力以及表面酸性对SCR反应的性能有显著影响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_Ref2074872556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[12]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。纯CeO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的表面酸性较弱，因此其催化活性较差</w:t>
      </w:r>
      <w:r>
        <w:rPr>
          <w:rFonts w:hint="eastAsia"/>
          <w:sz w:val="20"/>
          <w:szCs w:val="20"/>
        </w:rPr>
        <w:t>。其</w:t>
      </w:r>
      <w:r>
        <w:rPr>
          <w:sz w:val="20"/>
          <w:szCs w:val="20"/>
        </w:rPr>
        <w:t>对于NO的氧化具有良好的催化活性，有利于低温下的NH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-SCR反应，但在高温条件下，容易发生NH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的非选择性氧化，从而显著降低CeO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的催化性能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_Ref269557514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[13]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</w:p>
    <w:p/>
    <w:p>
      <w:pPr>
        <w:pStyle w:val="15"/>
        <w:rPr>
          <w:rFonts w:hint="default"/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eastAsia"/>
          <w:sz w:val="21"/>
          <w:szCs w:val="21"/>
          <w:lang w:val="en-US" w:eastAsia="zh-CN"/>
        </w:rPr>
        <w:t>3.1</w:t>
      </w:r>
      <w:bookmarkStart w:id="21" w:name="_GoBack"/>
      <w:bookmarkEnd w:id="21"/>
      <w:r>
        <w:rPr>
          <w:sz w:val="21"/>
          <w:szCs w:val="21"/>
        </w:rPr>
        <w:t xml:space="preserve">   混合物的影响</w:t>
      </w:r>
    </w:p>
    <w:p/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与纯CeO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催化剂相比，多组分金属催化剂表现出更好的脱硝效果。这是因为多组分金属氧化物</w:t>
      </w:r>
      <w:r>
        <w:rPr>
          <w:rFonts w:hint="eastAsia"/>
          <w:sz w:val="20"/>
          <w:szCs w:val="20"/>
        </w:rPr>
        <w:t>有</w:t>
      </w:r>
      <w:r>
        <w:rPr>
          <w:sz w:val="20"/>
          <w:szCs w:val="20"/>
        </w:rPr>
        <w:t>较大的比表面积、更强的表面酸性和更好的稳定性</w:t>
      </w:r>
      <w:r>
        <w:rPr>
          <w:rFonts w:hint="eastAsia"/>
          <w:sz w:val="20"/>
          <w:szCs w:val="20"/>
        </w:rPr>
        <w:t>等特点</w:t>
      </w:r>
      <w:r>
        <w:rPr>
          <w:sz w:val="20"/>
          <w:szCs w:val="20"/>
        </w:rPr>
        <w:t>。研究表明，经过其他金属修饰的纯CeO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具有显著提高的SCR活性，负载型或混合型CeO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是较优的NH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-SCR催化剂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_Ref1525379585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[14]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。研究显示， TiO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被广泛用作钒基和非钒基催化剂的载体，用于NH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-SCR脱硝催化剂的研究。当CeO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负载于TiO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上作为活性组分时，CeO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/TiO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催化剂在中高温下具有出色的脱硝性能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_Ref1997544828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[15]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</w:p>
    <w:p/>
    <w:p>
      <w:pPr>
        <w:pStyle w:val="15"/>
        <w:rPr>
          <w:rFonts w:hint="default"/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default"/>
          <w:sz w:val="21"/>
          <w:szCs w:val="21"/>
        </w:rPr>
        <w:t>3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</w:rPr>
        <w:t>2</w:t>
      </w:r>
      <w:r>
        <w:rPr>
          <w:sz w:val="21"/>
          <w:szCs w:val="21"/>
        </w:rPr>
        <w:t xml:space="preserve">   酸处理的影响</w:t>
      </w:r>
    </w:p>
    <w:p/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此外，通过酸预处理或酸性促进剂改性可以改善催化剂的酸性。</w:t>
      </w:r>
      <w:r>
        <w:rPr>
          <w:rFonts w:hint="eastAsia"/>
          <w:sz w:val="20"/>
          <w:szCs w:val="20"/>
        </w:rPr>
        <w:t>经</w:t>
      </w:r>
      <w:r>
        <w:rPr>
          <w:sz w:val="20"/>
          <w:szCs w:val="20"/>
        </w:rPr>
        <w:t>研究发现，用H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SO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预处理CeO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可以显著增加CeO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表面的酸性中心（尤其是B酸中心）和Ce</w:t>
      </w:r>
      <w:r>
        <w:rPr>
          <w:sz w:val="20"/>
          <w:szCs w:val="20"/>
          <w:vertAlign w:val="superscript"/>
        </w:rPr>
        <w:t>3+</w:t>
      </w:r>
      <w:r>
        <w:rPr>
          <w:sz w:val="20"/>
          <w:szCs w:val="20"/>
        </w:rPr>
        <w:t>含量，在300-500°C范围内表现出最佳的高温NH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-SCR脱硝活性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_Ref345023957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[16]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。相邻吸附NH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和NO</w:t>
      </w:r>
      <w:r>
        <w:rPr>
          <w:sz w:val="20"/>
          <w:szCs w:val="20"/>
          <w:vertAlign w:val="subscript"/>
        </w:rPr>
        <w:t>x</w:t>
      </w:r>
      <w:r>
        <w:rPr>
          <w:sz w:val="20"/>
          <w:szCs w:val="20"/>
        </w:rPr>
        <w:t>的反应位点</w:t>
      </w:r>
      <w:r>
        <w:rPr>
          <w:rFonts w:hint="eastAsia"/>
          <w:sz w:val="20"/>
          <w:szCs w:val="20"/>
        </w:rPr>
        <w:t>对</w:t>
      </w:r>
      <w:r>
        <w:rPr>
          <w:sz w:val="20"/>
          <w:szCs w:val="20"/>
        </w:rPr>
        <w:t>提高SCR反应催化性能</w:t>
      </w:r>
      <w:r>
        <w:rPr>
          <w:rFonts w:hint="eastAsia"/>
          <w:sz w:val="20"/>
          <w:szCs w:val="20"/>
        </w:rPr>
        <w:t>具有重要作用</w:t>
      </w:r>
      <w:r>
        <w:rPr>
          <w:sz w:val="20"/>
          <w:szCs w:val="20"/>
        </w:rPr>
        <w:t>。通过引入固体酸组分，可以改善Ce-W-Ti混合氧化物催化剂的脱硝活性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_Ref1328688721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[17]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。表面酸性对铈基催化剂的脱硝性能具有重要影响。</w:t>
      </w:r>
    </w:p>
    <w:p/>
    <w:p>
      <w:pPr>
        <w:pStyle w:val="15"/>
        <w:rPr>
          <w:rFonts w:hint="default"/>
          <w:sz w:val="21"/>
          <w:szCs w:val="21"/>
        </w:rPr>
      </w:pPr>
      <w:r>
        <w:rPr>
          <w:sz w:val="21"/>
          <w:szCs w:val="21"/>
        </w:rPr>
        <w:t>1.</w:t>
      </w:r>
      <w:r>
        <w:rPr>
          <w:rFonts w:hint="default"/>
          <w:sz w:val="21"/>
          <w:szCs w:val="21"/>
        </w:rPr>
        <w:t>3</w:t>
      </w:r>
      <w:r>
        <w:rPr>
          <w:sz w:val="21"/>
          <w:szCs w:val="21"/>
        </w:rPr>
        <w:t>.3   制备方法的影响</w:t>
      </w:r>
    </w:p>
    <w:p>
      <w:pPr>
        <w:pStyle w:val="8"/>
        <w:ind w:firstLine="434"/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水热法制备的CeO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-SnO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催化剂通过形成更丰富的Ce-O-Sn物种，诱导形成更多的氧空位，促进Ce和Sn之间的电子相互作用，从而提升了催化剂的脱硝活性和抗K中毒性能。</w:t>
      </w: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水热法制备的催化剂表面</w:t>
      </w:r>
      <w:r>
        <w:rPr>
          <w:rFonts w:hint="eastAsia"/>
          <w:sz w:val="20"/>
          <w:szCs w:val="20"/>
        </w:rPr>
        <w:t>也</w:t>
      </w:r>
      <w:r>
        <w:rPr>
          <w:sz w:val="20"/>
          <w:szCs w:val="20"/>
        </w:rPr>
        <w:t>更容易吸附和活化NH3，有利于NH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-SCR反应的进行。催化剂经水热法制备后，其表面酸性受K中毒的影响较小，而Sn-O更容易与K物种结合，保护了Ce-O活性位点，进一步提高了抗K中毒性能</w:t>
      </w:r>
      <w:r>
        <w:rPr>
          <w:rFonts w:hint="eastAsia"/>
          <w:sz w:val="20"/>
          <w:szCs w:val="20"/>
        </w:rPr>
        <w:t>。</w:t>
      </w:r>
    </w:p>
    <w:p>
      <w:pPr>
        <w:rPr>
          <w:sz w:val="20"/>
          <w:szCs w:val="15"/>
        </w:rPr>
      </w:pPr>
    </w:p>
    <w:p>
      <w:pPr>
        <w:pStyle w:val="17"/>
        <w:rPr>
          <w:sz w:val="24"/>
          <w:szCs w:val="24"/>
        </w:rPr>
      </w:pPr>
      <w:r>
        <w:rPr>
          <w:sz w:val="24"/>
          <w:szCs w:val="24"/>
        </w:rPr>
        <w:t xml:space="preserve">2   </w:t>
      </w:r>
      <w:r>
        <w:rPr>
          <w:rFonts w:hint="eastAsia"/>
          <w:sz w:val="24"/>
          <w:szCs w:val="24"/>
        </w:rPr>
        <w:t>SCR催化剂系统存在的问题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除了影响个别催化剂催化效率的因素外，还有一些影响各种SCR催化剂的共性因素如：催化剂磨损、催化剂烧结失活、催化剂中毒等，这些因素都会对于SCR催化剂的效率有所影响。</w:t>
      </w:r>
    </w:p>
    <w:p>
      <w:pPr>
        <w:rPr>
          <w:sz w:val="20"/>
          <w:szCs w:val="15"/>
        </w:rPr>
      </w:pPr>
    </w:p>
    <w:p>
      <w:pPr>
        <w:pStyle w:val="1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</w:t>
      </w:r>
      <w:r>
        <w:rPr>
          <w:sz w:val="22"/>
          <w:szCs w:val="22"/>
        </w:rPr>
        <w:t>.1   催化剂磨损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催化剂的严重磨损会导致活性物质减少，主要</w:t>
      </w:r>
      <w:r>
        <w:rPr>
          <w:rFonts w:hint="eastAsia"/>
          <w:sz w:val="20"/>
          <w:szCs w:val="20"/>
        </w:rPr>
        <w:t>原因</w:t>
      </w:r>
      <w:r>
        <w:rPr>
          <w:sz w:val="20"/>
          <w:szCs w:val="20"/>
        </w:rPr>
        <w:t>包括：机械强度不符要求，容易磨损和坍塌；烟气流场不均匀，存在高速区，导致催化剂在该处发生严重磨损</w:t>
      </w:r>
      <w:r>
        <w:rPr>
          <w:rFonts w:hint="eastAsia"/>
          <w:sz w:val="20"/>
          <w:szCs w:val="20"/>
        </w:rPr>
        <w:t>等。</w:t>
      </w:r>
    </w:p>
    <w:p>
      <w:pPr>
        <w:rPr>
          <w:sz w:val="20"/>
          <w:szCs w:val="15"/>
        </w:rPr>
      </w:pPr>
    </w:p>
    <w:p>
      <w:pPr>
        <w:pStyle w:val="1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</w:t>
      </w:r>
      <w:r>
        <w:rPr>
          <w:sz w:val="22"/>
          <w:szCs w:val="22"/>
        </w:rPr>
        <w:t>.2   催化剂烧结失活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使用NH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-SCR催化剂进行脱硝反应时，长时间暴露在高温环境下容易发生烧结现象，导致催化剂的化学结构发生变化，从而降低脱硝性能。烧结引起锐钛矿TiO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晶粒粒度增大，比表面积降低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_Ref1727142713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[18]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。催化剂的烧结是不可逆的，因此延长催化剂的使用寿命成为未来研究的重点。</w:t>
      </w:r>
    </w:p>
    <w:p>
      <w:pPr>
        <w:rPr>
          <w:sz w:val="20"/>
          <w:szCs w:val="15"/>
        </w:rPr>
      </w:pPr>
    </w:p>
    <w:p>
      <w:pPr>
        <w:pStyle w:val="1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</w:t>
      </w:r>
      <w:r>
        <w:rPr>
          <w:sz w:val="22"/>
          <w:szCs w:val="22"/>
        </w:rPr>
        <w:t>.3   催化剂堵塞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催化剂的堵塞可以分为孔堵塞和通道堵塞两种类型，阻止了反应物在催化剂的活性表面上进行反应，导致催化剂活性下降。在我国大部分柴油中含有硫元素，燃烧后产生的SO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会与催化剂中的CaO在高温下反应生成CaSO</w:t>
      </w:r>
      <w:r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>沉淀，最终堵塞催化剂的孔隙。此外，烟气中的SO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会被氧化成SO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，然后与H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O和NH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反应，形成强粘性的硫酸氢铵和硫酸铵，引起堵塞。对于催化剂表面的微孔来说，小粒径的飞灰容易进入其中，导致通道堵塞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_Ref1306589836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[19]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15"/>
        </w:rPr>
      </w:pPr>
    </w:p>
    <w:p>
      <w:pPr>
        <w:pStyle w:val="13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</w:t>
      </w:r>
      <w:r>
        <w:rPr>
          <w:sz w:val="22"/>
          <w:szCs w:val="22"/>
        </w:rPr>
        <w:t>.4   催化剂中毒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1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</w:t>
      </w:r>
      <w:r>
        <w:rPr>
          <w:sz w:val="21"/>
          <w:szCs w:val="21"/>
        </w:rPr>
        <w:t>.4.1   二氧化硫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二氧化硫（SO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）吸附在催化剂表面后被氧化为三氧化硫（SO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），然后与氨气（NH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）反应生成硫酸铵或硫酸氢铵，沉积在催化剂表面上。这会占据活性位点，或与活性位点反应生成硫酸盐，抑制活性位点的氧化还原性能，</w:t>
      </w:r>
      <w:r>
        <w:rPr>
          <w:rFonts w:hint="eastAsia"/>
          <w:sz w:val="20"/>
          <w:szCs w:val="20"/>
        </w:rPr>
        <w:t>显</w:t>
      </w:r>
      <w:r>
        <w:rPr>
          <w:sz w:val="20"/>
          <w:szCs w:val="20"/>
        </w:rPr>
        <w:t>著降低SCR催化剂的反应活性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_Ref608440471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[20]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15"/>
        </w:rPr>
      </w:pPr>
    </w:p>
    <w:p>
      <w:pPr>
        <w:pStyle w:val="1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</w:t>
      </w:r>
      <w:r>
        <w:rPr>
          <w:sz w:val="21"/>
          <w:szCs w:val="21"/>
        </w:rPr>
        <w:t>.4.2   水蒸气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柴油车尾气后处理系统中，DPF（颗粒捕集器）需要定期进行高温主动再生，但这会产生大量水蒸气，对SCR（选择性催化还原）装置中的催化剂造成高温水热环境的冲击，导致催化剂失活</w:t>
      </w:r>
      <w:r>
        <w:rPr>
          <w:sz w:val="20"/>
          <w:szCs w:val="20"/>
          <w:vertAlign w:val="superscript"/>
        </w:rPr>
        <w:fldChar w:fldCharType="begin"/>
      </w:r>
      <w:r>
        <w:rPr>
          <w:sz w:val="20"/>
          <w:szCs w:val="20"/>
          <w:vertAlign w:val="superscript"/>
        </w:rPr>
        <w:instrText xml:space="preserve"> REF _Ref1086652127 \r \h </w:instrText>
      </w:r>
      <w:r>
        <w:rPr>
          <w:sz w:val="20"/>
          <w:szCs w:val="20"/>
          <w:vertAlign w:val="superscript"/>
        </w:rPr>
        <w:fldChar w:fldCharType="separate"/>
      </w:r>
      <w:r>
        <w:rPr>
          <w:sz w:val="20"/>
          <w:szCs w:val="20"/>
          <w:vertAlign w:val="superscript"/>
        </w:rPr>
        <w:t>[21]</w:t>
      </w:r>
      <w:r>
        <w:rPr>
          <w:sz w:val="20"/>
          <w:szCs w:val="20"/>
          <w:vertAlign w:val="superscript"/>
        </w:rPr>
        <w:fldChar w:fldCharType="end"/>
      </w:r>
      <w:r>
        <w:rPr>
          <w:sz w:val="20"/>
          <w:szCs w:val="20"/>
        </w:rPr>
        <w:t>。</w:t>
      </w: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在工业应用中，水蒸气对催化剂脱硝活性有影响，但一般是可逆的且不持续的。可逆失活是由于水与NH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在催化剂表面的酸性位点上竞争性吸附，例如V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>/TiO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催化剂。当反应温度低于350℃时，水对催化剂的NO还原活性有轻微的抑制作用，因为水与NH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竞争吸附在活性位点上。但当反应温度较高时，抑制作用减弱或消失，此时NO转化率几乎不受水含量影响。</w:t>
      </w:r>
    </w:p>
    <w:p>
      <w:pPr>
        <w:rPr>
          <w:sz w:val="20"/>
          <w:szCs w:val="15"/>
        </w:rPr>
      </w:pPr>
    </w:p>
    <w:p>
      <w:pPr>
        <w:pStyle w:val="15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2.4.3   碱/碱土金属</w:t>
      </w:r>
      <w:r>
        <w:rPr>
          <w:sz w:val="21"/>
          <w:szCs w:val="21"/>
        </w:rPr>
        <w:t>中毒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碱金属（如Na、K）和碱土金属（如Ca）能显著抑制SCR催化剂的脱硝活性。碱金属会导致SCR催化剂的氧化还原能力和表面酸性下降，同时会堵塞催化剂的孔道结构，导致催化剂明显失活。</w:t>
      </w:r>
    </w:p>
    <w:p>
      <w:pPr>
        <w:rPr>
          <w:sz w:val="20"/>
          <w:szCs w:val="15"/>
        </w:rPr>
      </w:pPr>
    </w:p>
    <w:p>
      <w:pPr>
        <w:pStyle w:val="17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  结语和展望</w:t>
      </w:r>
    </w:p>
    <w:p>
      <w:pPr>
        <w:pStyle w:val="8"/>
        <w:ind w:firstLine="362"/>
        <w:rPr>
          <w:sz w:val="20"/>
          <w:szCs w:val="20"/>
        </w:rPr>
      </w:pPr>
    </w:p>
    <w:p>
      <w:pPr>
        <w:pStyle w:val="8"/>
        <w:ind w:firstLine="362"/>
        <w:rPr>
          <w:sz w:val="20"/>
          <w:szCs w:val="20"/>
        </w:rPr>
      </w:pPr>
      <w:r>
        <w:rPr>
          <w:sz w:val="20"/>
          <w:szCs w:val="20"/>
        </w:rPr>
        <w:t>目前商用</w:t>
      </w:r>
      <w:r>
        <w:rPr>
          <w:rFonts w:hint="eastAsia"/>
          <w:sz w:val="20"/>
          <w:szCs w:val="20"/>
        </w:rPr>
        <w:t>脱硝</w:t>
      </w:r>
      <w:r>
        <w:rPr>
          <w:sz w:val="20"/>
          <w:szCs w:val="20"/>
        </w:rPr>
        <w:t>催化剂主要采用V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>作为活性组分，由于其在NH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-SCR反应中具有出色的性能而得到广泛应用。然而，钒本身具有毒性，导致回收困难，处理不当</w:t>
      </w:r>
      <w:r>
        <w:rPr>
          <w:rFonts w:hint="eastAsia"/>
          <w:sz w:val="20"/>
          <w:szCs w:val="20"/>
        </w:rPr>
        <w:t>还有可能</w:t>
      </w:r>
      <w:r>
        <w:rPr>
          <w:sz w:val="20"/>
          <w:szCs w:val="20"/>
        </w:rPr>
        <w:t>对环境造成污染。因此，目前的研究重点集中在对常规钒催化剂进行改性，以降低钒的负载量，同时保持原有催化性能基本不变</w:t>
      </w:r>
      <w:r>
        <w:rPr>
          <w:rFonts w:hint="eastAsia"/>
          <w:sz w:val="20"/>
          <w:szCs w:val="20"/>
        </w:rPr>
        <w:t>，或</w:t>
      </w:r>
      <w:r>
        <w:rPr>
          <w:sz w:val="20"/>
          <w:szCs w:val="20"/>
        </w:rPr>
        <w:t>寻找</w:t>
      </w:r>
      <w:r>
        <w:rPr>
          <w:rFonts w:hint="eastAsia"/>
          <w:sz w:val="20"/>
          <w:szCs w:val="20"/>
        </w:rPr>
        <w:t>如锰基催化剂、铈基催化剂</w:t>
      </w:r>
      <w:r>
        <w:rPr>
          <w:sz w:val="20"/>
          <w:szCs w:val="20"/>
        </w:rPr>
        <w:t>替代钒催化剂</w:t>
      </w:r>
      <w:r>
        <w:rPr>
          <w:rFonts w:hint="eastAsia"/>
          <w:sz w:val="20"/>
          <w:szCs w:val="20"/>
        </w:rPr>
        <w:t>，减少</w:t>
      </w:r>
      <w:r>
        <w:rPr>
          <w:sz w:val="20"/>
          <w:szCs w:val="20"/>
        </w:rPr>
        <w:t>钒</w:t>
      </w:r>
      <w:r>
        <w:rPr>
          <w:rFonts w:hint="eastAsia"/>
          <w:sz w:val="20"/>
          <w:szCs w:val="20"/>
        </w:rPr>
        <w:t>的使用。</w:t>
      </w:r>
      <w:r>
        <w:rPr>
          <w:sz w:val="20"/>
          <w:szCs w:val="20"/>
        </w:rPr>
        <w:t>研究发现铈锡金属氧化物催化剂（CeO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-SnO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）在较宽的温度范围内具有出色的脱硝活性，N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选择性接近100%。同时，这种催化剂还表现出较高的抗SO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和H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O性能。因此，铈锡金属氧化物催化剂有望成为替代V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</w:t>
      </w:r>
      <w:r>
        <w:rPr>
          <w:sz w:val="20"/>
          <w:szCs w:val="20"/>
          <w:vertAlign w:val="subscript"/>
        </w:rPr>
        <w:t>5</w:t>
      </w:r>
      <w:r>
        <w:rPr>
          <w:sz w:val="20"/>
          <w:szCs w:val="20"/>
        </w:rPr>
        <w:t>-WO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(MoO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)/TiO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催化剂的候选之一。</w:t>
      </w:r>
    </w:p>
    <w:p/>
    <w:p>
      <w:pPr>
        <w:pStyle w:val="12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参考文献</w:t>
      </w:r>
    </w:p>
    <w:p>
      <w:pPr>
        <w:pStyle w:val="12"/>
        <w:rPr>
          <w:rFonts w:eastAsia="黑体"/>
          <w:sz w:val="24"/>
          <w:szCs w:val="24"/>
        </w:rPr>
      </w:pPr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0" w:name="_Ref1194606717"/>
      <w:r>
        <w:rPr>
          <w:sz w:val="16"/>
          <w:szCs w:val="16"/>
        </w:rPr>
        <w:t>ZHENG M, SALMON L G, SCHAUER J J,et al., Seasonal trends in PM2.5 source contributions in Beijing, China[J]. Atmospheric Environment, 2005,39(22): 3967-3976.</w:t>
      </w:r>
      <w:bookmarkEnd w:id="0"/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" w:name="_Ref746925727"/>
      <w:r>
        <w:rPr>
          <w:sz w:val="16"/>
          <w:szCs w:val="16"/>
        </w:rPr>
        <w:t>孔杨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张泽凯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李浙飞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等. 近十年来(2011-2021)钒基NH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>-SCR催化剂的研究进展[J]. 工业催化, 2022,30(12): 16-33.</w:t>
      </w:r>
      <w:bookmarkEnd w:id="1"/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2" w:name="_Ref959638868"/>
      <w:r>
        <w:rPr>
          <w:sz w:val="16"/>
          <w:szCs w:val="16"/>
        </w:rPr>
        <w:t>龙璐璐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田时泓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张潇潇等.锰铈系催化剂的脱硝及抗SO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中毒性能研究进展[J]. 工业催化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202</w:t>
      </w:r>
      <w:r>
        <w:rPr>
          <w:rFonts w:hint="eastAsia"/>
          <w:sz w:val="16"/>
          <w:szCs w:val="16"/>
        </w:rPr>
        <w:t>3，31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8</w:t>
      </w:r>
      <w:r>
        <w:rPr>
          <w:sz w:val="16"/>
          <w:szCs w:val="16"/>
        </w:rPr>
        <w:t>) :</w:t>
      </w:r>
      <w:r>
        <w:rPr>
          <w:rFonts w:hint="eastAsia"/>
          <w:sz w:val="16"/>
          <w:szCs w:val="16"/>
        </w:rPr>
        <w:t xml:space="preserve"> 1-9</w:t>
      </w:r>
      <w:r>
        <w:rPr>
          <w:sz w:val="16"/>
          <w:szCs w:val="16"/>
        </w:rPr>
        <w:t>．</w:t>
      </w:r>
      <w:bookmarkEnd w:id="2"/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3" w:name="_Ref1464531243"/>
      <w:r>
        <w:rPr>
          <w:sz w:val="16"/>
          <w:szCs w:val="16"/>
        </w:rPr>
        <w:t>马兰.钒钛材料[M].北京:冶金工业出版社,2020.</w:t>
      </w:r>
      <w:bookmarkEnd w:id="3"/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4" w:name="_Ref574686094"/>
      <w:r>
        <w:rPr>
          <w:sz w:val="16"/>
          <w:szCs w:val="16"/>
        </w:rPr>
        <w:t>郭咏梅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白雪</w:t>
      </w:r>
      <w:r>
        <w:rPr>
          <w:rFonts w:hint="eastAsia"/>
          <w:sz w:val="16"/>
          <w:szCs w:val="16"/>
        </w:rPr>
        <w:t>，</w:t>
      </w:r>
      <w:r>
        <w:rPr>
          <w:sz w:val="16"/>
          <w:szCs w:val="16"/>
        </w:rPr>
        <w:t>于佳欣.工业烟气稀土基脱硝催化剂的开发现状[J].稀土信息,2017(397):10-14.</w:t>
      </w:r>
      <w:bookmarkEnd w:id="4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5" w:name="_Ref1903871259"/>
      <w:r>
        <w:rPr>
          <w:sz w:val="16"/>
          <w:szCs w:val="16"/>
        </w:rPr>
        <w:t>Jiang BQ, Liu Y, Wu ZB. Journal of Hazardous Materials, 2009, 162(2), 1249.</w:t>
      </w:r>
      <w:bookmarkEnd w:id="5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6" w:name="_Ref240977701"/>
      <w:r>
        <w:rPr>
          <w:sz w:val="16"/>
          <w:szCs w:val="16"/>
        </w:rPr>
        <w:t>Yao XJ, Ma KL, Zhou WX, et al. Chinese Journal of Catalysis, 2017, 38(1), 146.</w:t>
      </w:r>
      <w:bookmarkEnd w:id="6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7" w:name="_Ref7584892"/>
      <w:r>
        <w:rPr>
          <w:sz w:val="16"/>
          <w:szCs w:val="16"/>
        </w:rPr>
        <w:t>Yu SH, Jiang NX, Zhou WX, et al. Catalysis Communications, 2016, 84, 75.</w:t>
      </w:r>
      <w:bookmarkEnd w:id="7"/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8" w:name="_Ref577048350"/>
      <w:r>
        <w:rPr>
          <w:sz w:val="16"/>
          <w:szCs w:val="16"/>
        </w:rPr>
        <w:t>Dahle J T，Arai Y. Environmental geochemistry of cerium: applications and toxicology of cerium oxide nanoparticles[J]. Int. J. Environ. Res. Public Health, 2015, 12(2); 1253.</w:t>
      </w:r>
      <w:bookmarkEnd w:id="8"/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9" w:name="_Ref641617518"/>
      <w:r>
        <w:rPr>
          <w:sz w:val="16"/>
          <w:szCs w:val="16"/>
        </w:rPr>
        <w:t>张亚文. 纳米氧化铈的缺陷化学及其在多相催化中作用的研究进展[J]. 中国稀土学报, 2020, 38(3): 326-344.</w:t>
      </w:r>
      <w:bookmarkEnd w:id="9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0" w:name="_Ref521194583"/>
      <w:r>
        <w:rPr>
          <w:sz w:val="16"/>
          <w:szCs w:val="16"/>
        </w:rPr>
        <w:t xml:space="preserve">温新颖.铈基催化剂制备及其催化氧化乙酸乙酯性能研究[D].导师：莫德清.桂林电子科技大学,2023.袁堃, </w:t>
      </w:r>
      <w:bookmarkEnd w:id="10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1" w:name="_Ref2074872556"/>
      <w:r>
        <w:rPr>
          <w:sz w:val="16"/>
          <w:szCs w:val="16"/>
        </w:rPr>
        <w:t>姚小江. 铈基催化剂在NO催化消除中的性能研究[D]. 南京大学, 2014.</w:t>
      </w:r>
      <w:bookmarkEnd w:id="11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2" w:name="_Ref269557514"/>
      <w:r>
        <w:rPr>
          <w:sz w:val="16"/>
          <w:szCs w:val="16"/>
        </w:rPr>
        <w:t>Ma L, Seo C. Y., Nahata M., et al. Shape dependence and sulfate promotion of CeO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for selective catalytic reduction of NO with NH</w:t>
      </w:r>
      <w:r>
        <w:rPr>
          <w:sz w:val="16"/>
          <w:szCs w:val="16"/>
          <w:vertAlign w:val="subscript"/>
        </w:rPr>
        <w:t xml:space="preserve">3 </w:t>
      </w:r>
      <w:r>
        <w:rPr>
          <w:sz w:val="16"/>
          <w:szCs w:val="16"/>
        </w:rPr>
        <w:t>[J]. Applied Catalysis B: Environmental, 2018, 232: 246-259.</w:t>
      </w:r>
      <w:bookmarkEnd w:id="12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3" w:name="_Ref1525379585"/>
      <w:r>
        <w:rPr>
          <w:sz w:val="16"/>
          <w:szCs w:val="16"/>
        </w:rPr>
        <w:t>Shen Y, Zhu S. Deactivation mechanism of potassium additives on Ti</w:t>
      </w:r>
      <w:r>
        <w:rPr>
          <w:sz w:val="16"/>
          <w:szCs w:val="16"/>
          <w:vertAlign w:val="subscript"/>
        </w:rPr>
        <w:t>0.8</w:t>
      </w:r>
      <w:r>
        <w:rPr>
          <w:sz w:val="16"/>
          <w:szCs w:val="16"/>
        </w:rPr>
        <w:t>Zr</w:t>
      </w:r>
      <w:r>
        <w:rPr>
          <w:sz w:val="16"/>
          <w:szCs w:val="16"/>
          <w:vertAlign w:val="subscript"/>
        </w:rPr>
        <w:t>0.2</w:t>
      </w:r>
      <w:r>
        <w:rPr>
          <w:sz w:val="16"/>
          <w:szCs w:val="16"/>
        </w:rPr>
        <w:t>Ce</w:t>
      </w:r>
      <w:r>
        <w:rPr>
          <w:sz w:val="16"/>
          <w:szCs w:val="16"/>
          <w:vertAlign w:val="subscript"/>
        </w:rPr>
        <w:t>0.2</w:t>
      </w:r>
      <w:r>
        <w:rPr>
          <w:sz w:val="16"/>
          <w:szCs w:val="16"/>
        </w:rPr>
        <w:t>O</w:t>
      </w:r>
      <w:r>
        <w:rPr>
          <w:sz w:val="16"/>
          <w:szCs w:val="16"/>
          <w:vertAlign w:val="subscript"/>
        </w:rPr>
        <w:t>2.4</w:t>
      </w:r>
      <w:r>
        <w:rPr>
          <w:sz w:val="16"/>
          <w:szCs w:val="16"/>
        </w:rPr>
        <w:t xml:space="preserve"> for NH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>-SCR of NO [J]. Catalysis Science &amp; Technology, 2012, 2: 1806-1810.</w:t>
      </w:r>
      <w:bookmarkEnd w:id="13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4" w:name="_Ref1997544828"/>
      <w:r>
        <w:rPr>
          <w:sz w:val="16"/>
          <w:szCs w:val="16"/>
        </w:rPr>
        <w:t>Yao X, Zhao R, Chen L, et al. Selective catalytic reduction of NO</w:t>
      </w:r>
      <w:r>
        <w:rPr>
          <w:sz w:val="16"/>
          <w:szCs w:val="16"/>
          <w:vertAlign w:val="subscript"/>
        </w:rPr>
        <w:t>x</w:t>
      </w:r>
      <w:r>
        <w:rPr>
          <w:sz w:val="16"/>
          <w:szCs w:val="16"/>
        </w:rPr>
        <w:t xml:space="preserve"> by NH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 over CeO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supported on TiO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: Comparison of anatase, brookite, and rutile [J]. Applied Catalysis B: Environmental, 2017, 208: 82-93.</w:t>
      </w:r>
      <w:bookmarkEnd w:id="14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5" w:name="_Ref345023957"/>
      <w:r>
        <w:rPr>
          <w:sz w:val="16"/>
          <w:szCs w:val="16"/>
        </w:rPr>
        <w:t>Yao X, Wang Z, Yu S, et al. Acid pretreatment effect on the physicochemical property and catalytic performance of CeO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for NH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>-SCR [J]. Applied Catalysis A: General, 2017, 542: 282-288.</w:t>
      </w:r>
      <w:bookmarkEnd w:id="15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6" w:name="_Ref1328688721"/>
      <w:r>
        <w:rPr>
          <w:sz w:val="16"/>
          <w:szCs w:val="16"/>
        </w:rPr>
        <w:t>Liu J, Xiong Z, Zhou F, et al. Promotional effect of H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>O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modification on the cerium-tungsten-titanium mixed oxide catalyst for selective catalytic reduction of NO with NH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 [J]. Journal of Physics and Chemistry of Solids, 2018, 121: 360-366.</w:t>
      </w:r>
      <w:bookmarkEnd w:id="16"/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7" w:name="_Ref1727142713"/>
      <w:r>
        <w:rPr>
          <w:sz w:val="16"/>
          <w:szCs w:val="16"/>
        </w:rPr>
        <w:t>商雪松,陈进生,赵金平等.SCR脱硝催化剂失活及其原因研究[J].燃料化学学报,2011,39(06):465-470.</w:t>
      </w:r>
      <w:bookmarkEnd w:id="17"/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8" w:name="_Ref1306589836"/>
      <w:r>
        <w:rPr>
          <w:sz w:val="16"/>
          <w:szCs w:val="16"/>
        </w:rPr>
        <w:t>郑乐辰,李祥如,王靖霏等.柴油车尾气SCR脱硝催化剂研究进展[J].化学试剂,2023,45(11):88-97.</w:t>
      </w:r>
      <w:bookmarkEnd w:id="18"/>
    </w:p>
    <w:p>
      <w:pPr>
        <w:pStyle w:val="12"/>
        <w:numPr>
          <w:ilvl w:val="0"/>
          <w:numId w:val="1"/>
        </w:numPr>
        <w:spacing w:line="360" w:lineRule="auto"/>
        <w:rPr>
          <w:sz w:val="16"/>
          <w:szCs w:val="16"/>
        </w:rPr>
      </w:pPr>
      <w:bookmarkStart w:id="19" w:name="_Ref608440471"/>
      <w:r>
        <w:rPr>
          <w:sz w:val="16"/>
          <w:szCs w:val="16"/>
        </w:rPr>
        <w:t>SHEN, M.Q., WEN, H.Y., HAO, T., et al. Deactivation mechanism of SO</w:t>
      </w:r>
      <w:r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on Cu/SAPO-34 NH</w:t>
      </w:r>
      <w:r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>-SCR catalysts: Structure and active Cu</w:t>
      </w:r>
      <w:r>
        <w:rPr>
          <w:sz w:val="16"/>
          <w:szCs w:val="16"/>
          <w:vertAlign w:val="superscript"/>
        </w:rPr>
        <w:t>2+</w:t>
      </w:r>
      <w:r>
        <w:rPr>
          <w:sz w:val="16"/>
          <w:szCs w:val="16"/>
        </w:rPr>
        <w:t>. Catal. Sci. Technol., 2015, 5(3): 741-749.</w:t>
      </w:r>
      <w:bookmarkEnd w:id="19"/>
    </w:p>
    <w:p>
      <w:pPr>
        <w:pStyle w:val="6"/>
        <w:numPr>
          <w:ilvl w:val="0"/>
          <w:numId w:val="1"/>
        </w:numPr>
        <w:spacing w:line="360" w:lineRule="auto"/>
        <w:rPr>
          <w:sz w:val="16"/>
          <w:szCs w:val="11"/>
        </w:rPr>
      </w:pPr>
      <w:bookmarkStart w:id="20" w:name="_Ref1086652127"/>
      <w:r>
        <w:rPr>
          <w:sz w:val="16"/>
          <w:szCs w:val="16"/>
        </w:rPr>
        <w:t>魏艳飞，管斌，吴星泽，等.水热老化温度和时间对Cu-SSZ-13分子筛催化剂性能和理化特性影响的研究[J].内燃机工程,2022,43(4):100-108.</w:t>
      </w:r>
      <w:bookmarkEnd w:id="20"/>
    </w:p>
    <w:sectPr>
      <w:type w:val="continuous"/>
      <w:pgSz w:w="11906" w:h="16838"/>
      <w:pgMar w:top="1440" w:right="1225" w:bottom="1440" w:left="1320" w:header="720" w:footer="720" w:gutter="0"/>
      <w:cols w:equalWidth="0" w:num="2">
        <w:col w:w="4320" w:space="480"/>
        <w:col w:w="456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EEFA91"/>
    <w:multiLevelType w:val="singleLevel"/>
    <w:tmpl w:val="DEEEFA91"/>
    <w:lvl w:ilvl="0" w:tentative="0">
      <w:start w:val="1"/>
      <w:numFmt w:val="decimal"/>
      <w:suff w:val="space"/>
      <w:lvlText w:val="[%1]"/>
      <w:lvlJc w:val="left"/>
      <w:pPr>
        <w:tabs>
          <w:tab w:val="left" w:pos="0"/>
        </w:tabs>
      </w:pPr>
      <w:rPr>
        <w:rFonts w:hint="default" w:ascii="Times New Roman" w:hAnsi="Times New Roman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176308E"/>
    <w:rsid w:val="000743B4"/>
    <w:rsid w:val="000E27DD"/>
    <w:rsid w:val="000F1522"/>
    <w:rsid w:val="00144488"/>
    <w:rsid w:val="00252B33"/>
    <w:rsid w:val="004D12D6"/>
    <w:rsid w:val="00502E27"/>
    <w:rsid w:val="00756B24"/>
    <w:rsid w:val="0078752A"/>
    <w:rsid w:val="00793E57"/>
    <w:rsid w:val="008E7A07"/>
    <w:rsid w:val="0096196F"/>
    <w:rsid w:val="009963CE"/>
    <w:rsid w:val="009D0AD4"/>
    <w:rsid w:val="009E522A"/>
    <w:rsid w:val="00A14F09"/>
    <w:rsid w:val="00A517F2"/>
    <w:rsid w:val="00A70572"/>
    <w:rsid w:val="00B21D68"/>
    <w:rsid w:val="00BA3EC3"/>
    <w:rsid w:val="00BB2DA1"/>
    <w:rsid w:val="00BF0995"/>
    <w:rsid w:val="00ED5427"/>
    <w:rsid w:val="00F23661"/>
    <w:rsid w:val="00FC03D8"/>
    <w:rsid w:val="05F74EDA"/>
    <w:rsid w:val="2DF72821"/>
    <w:rsid w:val="336FF358"/>
    <w:rsid w:val="37EC3FEB"/>
    <w:rsid w:val="37FF8AF5"/>
    <w:rsid w:val="3EF5CF69"/>
    <w:rsid w:val="3F7FA264"/>
    <w:rsid w:val="41BFE536"/>
    <w:rsid w:val="4BEF2C47"/>
    <w:rsid w:val="57FD38B0"/>
    <w:rsid w:val="5D2BAA7E"/>
    <w:rsid w:val="6EFC627B"/>
    <w:rsid w:val="777DB3A2"/>
    <w:rsid w:val="77C28C9D"/>
    <w:rsid w:val="77FCE48C"/>
    <w:rsid w:val="77FD9072"/>
    <w:rsid w:val="7AFF1945"/>
    <w:rsid w:val="7D7D9470"/>
    <w:rsid w:val="7E7D9552"/>
    <w:rsid w:val="7ED7927B"/>
    <w:rsid w:val="7ED98754"/>
    <w:rsid w:val="7EFB89F1"/>
    <w:rsid w:val="7FFDC0C6"/>
    <w:rsid w:val="7FFDC938"/>
    <w:rsid w:val="7FFFCB35"/>
    <w:rsid w:val="9D7F6FB2"/>
    <w:rsid w:val="9FCD3E2D"/>
    <w:rsid w:val="ABADF6B0"/>
    <w:rsid w:val="B3B7D58E"/>
    <w:rsid w:val="BB99949B"/>
    <w:rsid w:val="CFFDBD72"/>
    <w:rsid w:val="D17E9CB7"/>
    <w:rsid w:val="D5AF5C1E"/>
    <w:rsid w:val="DF5DD3DE"/>
    <w:rsid w:val="DF989583"/>
    <w:rsid w:val="DFDF7DAC"/>
    <w:rsid w:val="DFEA6551"/>
    <w:rsid w:val="E176308E"/>
    <w:rsid w:val="EBFF6AF3"/>
    <w:rsid w:val="EDFFB2B4"/>
    <w:rsid w:val="EF5B559B"/>
    <w:rsid w:val="EFFD7519"/>
    <w:rsid w:val="F4EF96B6"/>
    <w:rsid w:val="F759493D"/>
    <w:rsid w:val="FA7F8BF4"/>
    <w:rsid w:val="FB7F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theme="minorBidi"/>
      <w:sz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footnote reference"/>
    <w:basedOn w:val="2"/>
    <w:uiPriority w:val="0"/>
    <w:rPr>
      <w:vertAlign w:val="superscript"/>
    </w:rPr>
  </w:style>
  <w:style w:type="paragraph" w:styleId="6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7">
    <w:name w:val="Normal (Web)"/>
    <w:basedOn w:val="8"/>
    <w:qFormat/>
    <w:uiPriority w:val="0"/>
    <w:pPr>
      <w:spacing w:beforeAutospacing="1" w:afterAutospacing="1"/>
      <w:jc w:val="left"/>
    </w:pPr>
  </w:style>
  <w:style w:type="paragraph" w:customStyle="1" w:styleId="8">
    <w:name w:val="正文1"/>
    <w:basedOn w:val="1"/>
    <w:next w:val="1"/>
    <w:link w:val="14"/>
    <w:uiPriority w:val="0"/>
    <w:pPr>
      <w:spacing w:line="360" w:lineRule="auto"/>
      <w:ind w:firstLine="398" w:firstLineChars="181"/>
      <w:jc w:val="both"/>
    </w:pPr>
    <w:rPr>
      <w:rFonts w:cs="Times New Roman"/>
      <w:szCs w:val="24"/>
    </w:rPr>
  </w:style>
  <w:style w:type="table" w:styleId="9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正文"/>
    <w:basedOn w:val="1"/>
    <w:next w:val="1"/>
    <w:uiPriority w:val="0"/>
    <w:pPr>
      <w:spacing w:line="360" w:lineRule="auto"/>
      <w:ind w:firstLine="398" w:firstLineChars="181"/>
      <w:jc w:val="both"/>
    </w:pPr>
    <w:rPr>
      <w:rFonts w:hint="default" w:ascii="Times New Roman" w:hAnsi="Times New Roman" w:eastAsia="SimSun" w:cs="Times New Roman"/>
      <w:sz w:val="24"/>
      <w:szCs w:val="24"/>
      <w:lang w:bidi="ar"/>
    </w:rPr>
  </w:style>
  <w:style w:type="character" w:customStyle="1" w:styleId="11">
    <w:name w:val="脚注 Char"/>
    <w:link w:val="1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脚注"/>
    <w:basedOn w:val="1"/>
    <w:link w:val="11"/>
    <w:qFormat/>
    <w:uiPriority w:val="0"/>
    <w:pPr>
      <w:snapToGrid w:val="0"/>
    </w:pPr>
    <w:rPr>
      <w:rFonts w:cs="Times New Roman"/>
      <w:sz w:val="18"/>
      <w:szCs w:val="18"/>
    </w:rPr>
  </w:style>
  <w:style w:type="paragraph" w:customStyle="1" w:styleId="13">
    <w:name w:val="二级标题"/>
    <w:basedOn w:val="1"/>
    <w:next w:val="8"/>
    <w:qFormat/>
    <w:uiPriority w:val="0"/>
    <w:pPr>
      <w:jc w:val="both"/>
    </w:pPr>
    <w:rPr>
      <w:rFonts w:hint="eastAsia" w:eastAsia="黑体" w:cs="Times New Roman"/>
      <w:sz w:val="30"/>
      <w:szCs w:val="30"/>
    </w:rPr>
  </w:style>
  <w:style w:type="character" w:customStyle="1" w:styleId="14">
    <w:name w:val="正文 Char"/>
    <w:link w:val="8"/>
    <w:qFormat/>
    <w:uiPriority w:val="0"/>
    <w:rPr>
      <w:rFonts w:hint="default" w:ascii="Times New Roman" w:hAnsi="Times New Roman" w:eastAsia="宋体" w:cs="Times New Roman"/>
      <w:sz w:val="24"/>
      <w:szCs w:val="24"/>
      <w:lang w:bidi="ar"/>
    </w:rPr>
  </w:style>
  <w:style w:type="paragraph" w:customStyle="1" w:styleId="15">
    <w:name w:val="三级标题"/>
    <w:basedOn w:val="1"/>
    <w:next w:val="8"/>
    <w:qFormat/>
    <w:uiPriority w:val="0"/>
    <w:pPr>
      <w:jc w:val="both"/>
    </w:pPr>
    <w:rPr>
      <w:rFonts w:hint="eastAsia" w:eastAsia="黑体" w:cs="Times New Roman"/>
      <w:sz w:val="28"/>
      <w:szCs w:val="28"/>
    </w:rPr>
  </w:style>
  <w:style w:type="character" w:customStyle="1" w:styleId="16">
    <w:name w:val="一级标题 Char"/>
    <w:link w:val="17"/>
    <w:qFormat/>
    <w:uiPriority w:val="0"/>
    <w:rPr>
      <w:rFonts w:hint="default" w:ascii="Times New Roman" w:hAnsi="Times New Roman" w:eastAsia="黑体" w:cs="黑体"/>
      <w:sz w:val="36"/>
      <w:szCs w:val="36"/>
      <w:lang w:bidi="ar"/>
    </w:rPr>
  </w:style>
  <w:style w:type="paragraph" w:customStyle="1" w:styleId="17">
    <w:name w:val="一级标题"/>
    <w:basedOn w:val="1"/>
    <w:next w:val="8"/>
    <w:link w:val="16"/>
    <w:uiPriority w:val="0"/>
    <w:pPr>
      <w:jc w:val="both"/>
    </w:pPr>
    <w:rPr>
      <w:rFonts w:eastAsia="黑体" w:cs="Times New Roman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1374</Words>
  <Characters>7833</Characters>
  <Lines>65</Lines>
  <Paragraphs>18</Paragraphs>
  <TotalTime>10</TotalTime>
  <ScaleCrop>false</ScaleCrop>
  <LinksUpToDate>false</LinksUpToDate>
  <CharactersWithSpaces>9189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2024-01-10T20:44:00Z</dcterms:created>
  <dc:creator>alan</dc:creator>
  <cp:lastModifiedBy>alan</cp:lastModifiedBy>
  <dcterms:modified xsi:type="dcterms:W3CDTF">2024-01-17T12:51:37Z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