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3.png" ContentType="image/png"/>
  <Override PartName="/word/media/rId24.png" ContentType="image/png"/>
  <Override PartName="/word/media/rId32.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28" w:name="introduction"/>
    <w:p>
      <w:pPr>
        <w:pStyle w:val="Heading1"/>
      </w:pPr>
      <w:r>
        <w:t xml:space="preserve">1. Introduction</w:t>
      </w:r>
    </w:p>
    <w:bookmarkStart w:id="2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p>
      <w:pPr>
        <w:pStyle w:val="CaptionedFigure"/>
      </w:pPr>
      <w:r>
        <w:drawing>
          <wp:inline>
            <wp:extent cx="5334000" cy="2669996"/>
            <wp:effectExtent b="0" l="0" r="0" t="0"/>
            <wp:docPr descr="Gen5 layout and mission hardware elements. Diagram from the thesis analysis." title="" id="25" name="Picture"/>
            <a:graphic>
              <a:graphicData uri="http://schemas.openxmlformats.org/drawingml/2006/picture">
                <pic:pic>
                  <pic:nvPicPr>
                    <pic:cNvPr descr="../../source/figures/D02_layout.png" id="26" name="Picture"/>
                    <pic:cNvPicPr>
                      <a:picLocks noChangeArrowheads="1" noChangeAspect="1"/>
                    </pic:cNvPicPr>
                  </pic:nvPicPr>
                  <pic:blipFill>
                    <a:blip r:embed="rId24"/>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27"/>
    <w:bookmarkEnd w:id="28"/>
    <w:bookmarkStart w:id="29"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29"/>
    <w:bookmarkStart w:id="30"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0"/>
    <w:bookmarkStart w:id="31"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1"/>
    <w:bookmarkStart w:id="39"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3" name="Picture"/>
            <a:graphic>
              <a:graphicData uri="http://schemas.openxmlformats.org/drawingml/2006/picture">
                <pic:pic>
                  <pic:nvPicPr>
                    <pic:cNvPr descr="../../source/figures/F01_shot.png" id="34" name="Picture"/>
                    <pic:cNvPicPr>
                      <a:picLocks noChangeArrowheads="1" noChangeAspect="1"/>
                    </pic:cNvPicPr>
                  </pic:nvPicPr>
                  <pic:blipFill>
                    <a:blip r:embed="rId32"/>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38"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36" name="Picture"/>
            <a:graphic>
              <a:graphicData uri="http://schemas.openxmlformats.org/drawingml/2006/picture">
                <pic:pic>
                  <pic:nvPicPr>
                    <pic:cNvPr descr="../../source/figures/A02_field_map.png" id="37" name="Picture"/>
                    <pic:cNvPicPr>
                      <a:picLocks noChangeArrowheads="1" noChangeAspect="1"/>
                    </pic:cNvPicPr>
                  </pic:nvPicPr>
                  <pic:blipFill>
                    <a:blip r:embed="rId35"/>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38"/>
    <w:bookmarkEnd w:id="39"/>
    <w:bookmarkStart w:id="41" w:name="timeline"/>
    <w:p>
      <w:pPr>
        <w:pStyle w:val="Heading1"/>
      </w:pPr>
      <w:r>
        <w:t xml:space="preserve">6. Timeline</w:t>
      </w:r>
    </w:p>
    <w:bookmarkStart w:id="40"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0"/>
    <w:bookmarkEnd w:id="41"/>
    <w:bookmarkStart w:id="42"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2"/>
    <w:bookmarkStart w:id="58" w:name="results"/>
    <w:p>
      <w:pPr>
        <w:pStyle w:val="Heading1"/>
      </w:pPr>
      <w:r>
        <w:t xml:space="preserve">8. Results</w:t>
      </w:r>
    </w:p>
    <w:bookmarkStart w:id="43"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3"/>
    <w:bookmarkStart w:id="4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44"/>
    <w:bookmarkStart w:id="4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46" name="Picture"/>
            <a:graphic>
              <a:graphicData uri="http://schemas.openxmlformats.org/drawingml/2006/picture">
                <pic:pic>
                  <pic:nvPicPr>
                    <pic:cNvPr descr="../../source/figures/F03_mc.png" id="47" name="Picture"/>
                    <pic:cNvPicPr>
                      <a:picLocks noChangeArrowheads="1" noChangeAspect="1"/>
                    </pic:cNvPicPr>
                  </pic:nvPicPr>
                  <pic:blipFill>
                    <a:blip r:embed="rId4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48"/>
    <w:bookmarkStart w:id="52"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The more defensible message is conditional: a release impulse can change orbital energy, while absolute lifetime and lifetime gain depend on atmospheric density and the orbit model. A fresh independent run of the exact current 1.60 operating point remains outstanding. Timing alone, with zero relative impulse and no host or drag difference, produces neither persistent phasing nor this semi-major-axis change.</w:t>
      </w:r>
    </w:p>
    <w:p>
      <w:pPr>
        <w:pStyle w:val="CaptionedFigure"/>
      </w:pPr>
      <w:r>
        <w:drawing>
          <wp:inline>
            <wp:extent cx="4382391" cy="2697327"/>
            <wp:effectExtent b="0" l="0" r="0" t="0"/>
            <wp:docPr descr="Modelled orbital-lifetime response. Absolute values depend on atmosphere." title="" id="50" name="Picture"/>
            <a:graphic>
              <a:graphicData uri="http://schemas.openxmlformats.org/drawingml/2006/picture">
                <pic:pic>
                  <pic:nvPicPr>
                    <pic:cNvPr descr="../../source/figures/F04_life.png" id="51" name="Picture"/>
                    <pic:cNvPicPr>
                      <a:picLocks noChangeArrowheads="1" noChangeAspect="1"/>
                    </pic:cNvPicPr>
                  </pic:nvPicPr>
                  <pic:blipFill>
                    <a:blip r:embed="rId49"/>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52"/>
    <w:bookmarkStart w:id="56"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54" name="Picture"/>
            <a:graphic>
              <a:graphicData uri="http://schemas.openxmlformats.org/drawingml/2006/picture">
                <pic:pic>
                  <pic:nvPicPr>
                    <pic:cNvPr descr="../../source/figures/A35_ledger.png" id="55" name="Picture"/>
                    <pic:cNvPicPr>
                      <a:picLocks noChangeArrowheads="1" noChangeAspect="1"/>
                    </pic:cNvPicPr>
                  </pic:nvPicPr>
                  <pic:blipFill>
                    <a:blip r:embed="rId53"/>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56"/>
    <w:bookmarkStart w:id="57" w:name="decision-and-evidence-boundary"/>
    <w:p>
      <w:pPr>
        <w:pStyle w:val="Heading2"/>
      </w:pPr>
      <w:r>
        <w:t xml:space="preserve">Decision and evidence boundary</w:t>
      </w:r>
    </w:p>
    <w:p>
      <w:pPr>
        <w:pStyle w:val="FirstParagraph"/>
      </w:pPr>
      <w:r>
        <w:t xml:space="preserve">The completed analytical result has three parts. The model supports a commandable release and conditional orbital-energy benefit; the full-system 3U mass criterion fails; and the physical behavior remains unverified. The last category includes release-cycle reliability, shock and arrest loads transmitted to stowed satellites, field exposure near a customer payload, host attitude/control authority and provider approval. The known-problems register ranks several as potentially design-fatal. Their existence limits product claims but does not undo the completed analytical finding.</w:t>
      </w:r>
    </w:p>
    <w:bookmarkEnd w:id="57"/>
    <w:bookmarkEnd w:id="58"/>
    <w:bookmarkStart w:id="59" w:name="conclusion"/>
    <w:p>
      <w:pPr>
        <w:pStyle w:val="Heading1"/>
      </w:pPr>
      <w:r>
        <w:t xml:space="preserve">9. Conclusion</w:t>
      </w:r>
    </w:p>
    <w:p>
      <w:pPr>
        <w:pStyle w:val="FirstParagraph"/>
      </w:pPr>
      <w:r>
        <w:t xml:space="preserve">The Gen5 computational thesis reaches a complete engineering conclusion within its stated scope. Its system-level model predicts a commandable moderate-acceleration release and a conditional orbital-energy benefit. Complete installed-mass accounting then shows the configuration misses its preset 3U benchmark. The answer to the thesis trade question is therefore conditional benefit with an unfavourable 3U system cost. Hardware behavior and interfaces remain outside the tested evidence, so the result is a research conclusion rather than a flight-readiness claim.</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59"/>
    <w:bookmarkStart w:id="60"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60"/>
    <w:bookmarkStart w:id="61"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2026-10-09T07:28:46Z</dcterms:created>
  <dcterms:modified xsi:type="dcterms:W3CDTF">2026-10-09T07:28:46Z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