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Override PartName="/word/media/rId42.png" ContentType="image/png"/>
  <Override PartName="/word/media/rId38.png" ContentType="image/png"/>
  <Override PartName="/word/media/rId29.png" ContentType="image/png"/>
  <Override PartName="/word/media/rId25.png" ContentType="image/png"/>
  <Override PartName="/word/media/rId34.png" ContentType="image/png"/>
  <Override PartName="/word/media/rId101.png" ContentType="image/png"/>
  <Override PartName="/word/media/rId46.png" ContentType="image/png"/>
  <Override PartName="/word/media/rId51.png" ContentType="image/png"/>
  <Override PartName="/word/media/rId88.png" ContentType="image/png"/>
  <Override PartName="/word/media/rId73.png" ContentType="image/png"/>
  <Override PartName="/word/media/rId95.png" ContentType="image/png"/>
  <Override PartName="/word/media/rId62.png" ContentType="image/png"/>
  <Override PartName="/word/media/rId70.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evaluated configuration and adverse numerical findings are documented; decisive force and mission closure remain open.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639026"/>
            <wp:effectExtent b="0" l="0" r="0" t="0"/>
            <wp:docPr descr="Gen5 reference FreeCAD/STEP assembly visualized in Blender with enclosure hidden. Known side-fed clash remains; no physical article exists." title="" id="21" name="Picture"/>
            <a:graphic>
              <a:graphicData uri="http://schemas.openxmlformats.org/drawingml/2006/picture">
                <pic:pic>
                  <pic:nvPicPr>
                    <pic:cNvPr descr="../../cad/renders/step_review/gen5_reference_open.jpg" id="22" name="Picture"/>
                    <pic:cNvPicPr>
                      <a:picLocks noChangeArrowheads="1" noChangeAspect="1"/>
                    </pic:cNvPicPr>
                  </pic:nvPicPr>
                  <pic:blipFill>
                    <a:blip r:embed="rId20"/>
                    <a:stretch>
                      <a:fillRect/>
                    </a:stretch>
                  </pic:blipFill>
                  <pic:spPr bwMode="auto">
                    <a:xfrm>
                      <a:off x="0" y="0"/>
                      <a:ext cx="4693920" cy="2639026"/>
                    </a:xfrm>
                    <a:prstGeom prst="rect">
                      <a:avLst/>
                    </a:prstGeom>
                    <a:noFill/>
                    <a:ln w="9525">
                      <a:noFill/>
                      <a:headEnd/>
                      <a:tailEnd/>
                    </a:ln>
                  </pic:spPr>
                </pic:pic>
              </a:graphicData>
            </a:graphic>
          </wp:inline>
        </w:drawing>
      </w:r>
    </w:p>
    <w:p>
      <w:pPr>
        <w:pStyle w:val="ImageCaption"/>
      </w:pPr>
      <w:r>
        <w:t xml:space="preserve">Gen5 reference FreeCAD/STEP assembly visualized in Blender with enclosure hidden. Known side-fed clash remains;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historical periodic-force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For an assumed historical 16.029 m/s input, the orbit model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for that assumed historical input.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conditional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55" w:name="X6be4c09543f80416e16a1bdcc406a9e300f8f3f"/>
    <w:p>
      <w:pPr>
        <w:pStyle w:val="Heading1"/>
      </w:pPr>
      <w:r>
        <w:t xml:space="preserve">New decisive findings: finite force, feeder route and matched mission</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24">
        <w:r>
          <w:rPr>
            <w:rStyle w:val="Hyperlink"/>
          </w:rPr>
          <w:t xml:space="preserve">P118</w:t>
        </w:r>
      </w:hyperlink>
      <w:r>
        <w:t xml:space="preserve">.</w:t>
      </w:r>
    </w:p>
    <w:p>
      <w:pPr>
        <w:pStyle w:val="CaptionedFigure"/>
      </w:pPr>
      <w:r>
        <w:drawing>
          <wp:inline>
            <wp:extent cx="5120640" cy="2617216"/>
            <wp:effectExtent b="0" l="0" r="0" t="0"/>
            <wp:docPr descr="Finite-array/stator model force versus position; no physical measurement." title="" id="26" name="Picture"/>
            <a:graphic>
              <a:graphicData uri="http://schemas.openxmlformats.org/drawingml/2006/picture">
                <pic:pic>
                  <pic:nvPicPr>
                    <pic:cNvPr descr="../../figures/gen5_finite_force_map.png" id="27" name="Picture"/>
                    <pic:cNvPicPr>
                      <a:picLocks noChangeArrowheads="1" noChangeAspect="1"/>
                    </pic:cNvPicPr>
                  </pic:nvPicPr>
                  <pic:blipFill>
                    <a:blip r:embed="rId25"/>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28">
        <w:r>
          <w:rPr>
            <w:rStyle w:val="Hyperlink"/>
          </w:rPr>
          <w:t xml:space="preserve">P119</w:t>
        </w:r>
      </w:hyperlink>
      <w:r>
        <w:t xml:space="preserve"> </w:t>
      </w:r>
      <w:r>
        <w:t xml:space="preserve">records meshes, convergence and assumptions.</w:t>
      </w:r>
    </w:p>
    <w:p>
      <w:pPr>
        <w:pStyle w:val="CaptionedFigure"/>
      </w:pPr>
      <w:r>
        <w:drawing>
          <wp:inline>
            <wp:extent cx="5120640" cy="2617216"/>
            <wp:effectExtent b="0" l="0" r="0" t="0"/>
            <wp:docPr descr="Independent 2-D finite-element force screen, not a measurement." title="" id="30" name="Picture"/>
            <a:graphic>
              <a:graphicData uri="http://schemas.openxmlformats.org/drawingml/2006/picture">
                <pic:pic>
                  <pic:nvPicPr>
                    <pic:cNvPr descr="../../figures/gen5_finite_force_fem2d.png" id="31" name="Picture"/>
                    <pic:cNvPicPr>
                      <a:picLocks noChangeArrowheads="1" noChangeAspect="1"/>
                    </pic:cNvPicPr>
                  </pic:nvPicPr>
                  <pic:blipFill>
                    <a:blip r:embed="rId29"/>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Independent 2-D finite-element force screen, not a measurement.</w:t>
      </w:r>
    </w:p>
    <w:p>
      <w:pPr>
        <w:pStyle w:val="BodyText"/>
      </w:pPr>
      <w:r>
        <w:t xml:space="preserve">A separate</w:t>
      </w:r>
      <w:r>
        <w:t xml:space="preserve"> </w:t>
      </w:r>
      <w:r>
        <w:rPr>
          <w:b/>
          <w:bCs/>
        </w:rPr>
        <w:t xml:space="preserve">depth-resolved 3-D numerical surface-charge implementation</w:t>
      </w:r>
      <w:r>
        <w:t xml:space="preserve"> </w:t>
      </w:r>
      <w:r>
        <w:t xml:space="preserve">integrates the full 90 mm magnet depth and all 162 stator belts. It independently returns</w:t>
      </w:r>
      <w:r>
        <w:t xml:space="preserve"> </w:t>
      </w:r>
      <w:r>
        <w:rPr>
          <w:b/>
          <w:bCs/>
        </w:rPr>
        <w:t xml:space="preserve">1.042 kJ ideal work</w:t>
      </w:r>
      <w:r>
        <w:t xml:space="preserve">, matching P118 under shared geometry, remanence and ideal-phase assumptions. Face quadrature refinement from 16 to 24 nodes changes work by 0.00002%; halving the station spacing changes work by 0.096%. This checks the numerical formulation, not a selected motor or physical thrust. An illustrative 14 mm face gap gives</w:t>
      </w:r>
      <w:r>
        <w:t xml:space="preserve"> </w:t>
      </w:r>
      <w:r>
        <w:rPr>
          <w:b/>
          <w:bCs/>
        </w:rPr>
        <w:t xml:space="preserve">0.907 kJ</w:t>
      </w:r>
      <w:r>
        <w:t xml:space="preserve"> </w:t>
      </w:r>
      <w:r>
        <w:t xml:space="preserve">rather than 1.042 kJ at 12 mm, a 13.0% ideal-work reduction. A 10 mm copper-depth offset gives 0.961 kJ. These are deterministic sensitivity cases, not tolerance specifications. See</w:t>
      </w:r>
      <w:r>
        <w:t xml:space="preserve"> </w:t>
      </w:r>
      <w:hyperlink r:id="rId32">
        <w:r>
          <w:rPr>
            <w:rStyle w:val="Hyperlink"/>
          </w:rPr>
          <w:t xml:space="preserve">P121</w:t>
        </w:r>
      </w:hyperlink>
      <w:r>
        <w:t xml:space="preserve"> </w:t>
      </w:r>
      <w:r>
        <w:t xml:space="preserve">and</w:t>
      </w:r>
      <w:r>
        <w:t xml:space="preserve"> </w:t>
      </w:r>
      <w:hyperlink r:id="rId33">
        <w:r>
          <w:rPr>
            <w:rStyle w:val="Hyperlink"/>
          </w:rPr>
          <w:t xml:space="preserve">P122</w:t>
        </w:r>
      </w:hyperlink>
      <w:r>
        <w:t xml:space="preserve">.</w:t>
      </w:r>
    </w:p>
    <w:p>
      <w:pPr>
        <w:pStyle w:val="CaptionedFigure"/>
      </w:pPr>
      <w:r>
        <w:drawing>
          <wp:inline>
            <wp:extent cx="5120640" cy="2048256"/>
            <wp:effectExtent b="0" l="0" r="0" t="0"/>
            <wp:docPr descr="Ideal gap/depth sensitivity; scenarios rather than measured tolerances." title="" id="35" name="Picture"/>
            <a:graphic>
              <a:graphicData uri="http://schemas.openxmlformats.org/drawingml/2006/picture">
                <pic:pic>
                  <pic:nvPicPr>
                    <pic:cNvPr descr="../../figures/gen5_finite_force_sensitivity.png" id="36" name="Picture"/>
                    <pic:cNvPicPr>
                      <a:picLocks noChangeArrowheads="1" noChangeAspect="1"/>
                    </pic:cNvPicPr>
                  </pic:nvPicPr>
                  <pic:blipFill>
                    <a:blip r:embed="rId34"/>
                    <a:stretch>
                      <a:fillRect/>
                    </a:stretch>
                  </pic:blipFill>
                  <pic:spPr bwMode="auto">
                    <a:xfrm>
                      <a:off x="0" y="0"/>
                      <a:ext cx="5120640" cy="2048256"/>
                    </a:xfrm>
                    <a:prstGeom prst="rect">
                      <a:avLst/>
                    </a:prstGeom>
                    <a:noFill/>
                    <a:ln w="9525">
                      <a:noFill/>
                      <a:headEnd/>
                      <a:tailEnd/>
                    </a:ln>
                  </pic:spPr>
                </pic:pic>
              </a:graphicData>
            </a:graphic>
          </wp:inline>
        </w:drawing>
      </w:r>
    </w:p>
    <w:p>
      <w:pPr>
        <w:pStyle w:val="ImageCaption"/>
      </w:pPr>
      <w:r>
        <w:t xml:space="preserve">Ideal gap/depth sensitivity; scenarios rather than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37">
        <w:r>
          <w:rPr>
            <w:rStyle w:val="Hyperlink"/>
          </w:rPr>
          <w:t xml:space="preserve">P120</w:t>
        </w:r>
      </w:hyperlink>
      <w:r>
        <w:t xml:space="preserve"> </w:t>
      </w:r>
      <w:r>
        <w:t xml:space="preserve">gives the time history and energy ledger.</w:t>
      </w:r>
    </w:p>
    <w:p>
      <w:pPr>
        <w:pStyle w:val="CaptionedFigure"/>
      </w:pPr>
      <w:r>
        <w:drawing>
          <wp:inline>
            <wp:extent cx="5120640" cy="3607723"/>
            <wp:effectExtent b="0" l="0" r="0" t="0"/>
            <wp:docPr descr="Finite-force speed and assumed bank energy histories." title="" id="39" name="Picture"/>
            <a:graphic>
              <a:graphicData uri="http://schemas.openxmlformats.org/drawingml/2006/picture">
                <pic:pic>
                  <pic:nvPicPr>
                    <pic:cNvPr descr="../../figures/gen5_finite_coupled_shot.png" id="40" name="Picture"/>
                    <pic:cNvPicPr>
                      <a:picLocks noChangeArrowheads="1" noChangeAspect="1"/>
                    </pic:cNvPicPr>
                  </pic:nvPicPr>
                  <pic:blipFill>
                    <a:blip r:embed="rId38"/>
                    <a:stretch>
                      <a:fillRect/>
                    </a:stretch>
                  </pic:blipFill>
                  <pic:spPr bwMode="auto">
                    <a:xfrm>
                      <a:off x="0" y="0"/>
                      <a:ext cx="5120640" cy="3607723"/>
                    </a:xfrm>
                    <a:prstGeom prst="rect">
                      <a:avLst/>
                    </a:prstGeom>
                    <a:noFill/>
                    <a:ln w="9525">
                      <a:noFill/>
                      <a:headEnd/>
                      <a:tailEnd/>
                    </a:ln>
                  </pic:spPr>
                </pic:pic>
              </a:graphicData>
            </a:graphic>
          </wp:inline>
        </w:drawing>
      </w:r>
    </w:p>
    <w:p>
      <w:pPr>
        <w:pStyle w:val="ImageCaption"/>
      </w:pPr>
      <w:r>
        <w:t xml:space="preserve">Finite-force speed and assumed bank energy histories.</w:t>
      </w:r>
    </w:p>
    <w:p>
      <w:pPr>
        <w:pStyle w:val="BodyText"/>
      </w:pPr>
      <w:r>
        <w:t xml:space="preserve">An</w:t>
      </w:r>
      <w:r>
        <w:t xml:space="preserve"> </w:t>
      </w:r>
      <w:r>
        <w:rPr>
          <w:b/>
          <w:bCs/>
        </w:rPr>
        <w:t xml:space="preserve">unselected R1 geometry candidate</w:t>
      </w:r>
      <w:r>
        <w:t xml:space="preserve"> </w:t>
      </w:r>
      <w:r>
        <w:t xml:space="preserve">uses a 570 mm wide enclosure. Its native FreeCAD document and STEP parts pass exact-solid static fit and twelve scripted 3U envelope transfer paths with conservative fixed-part swept boxes. It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41">
        <w:r>
          <w:rPr>
            <w:rStyle w:val="Hyperlink"/>
          </w:rPr>
          <w:t xml:space="preserve">R1 CAD record</w:t>
        </w:r>
      </w:hyperlink>
      <w:r>
        <w:t xml:space="preserve">.</w:t>
      </w:r>
    </w:p>
    <w:p>
      <w:pPr>
        <w:pStyle w:val="CaptionedFigure"/>
      </w:pPr>
      <w:r>
        <w:drawing>
          <wp:inline>
            <wp:extent cx="4800600" cy="3382240"/>
            <wp:effectExtent b="0" l="0" r="0" t="0"/>
            <wp:docPr descr="R1 candidate section; geometry drawing, not a qualified mechanism." title="" id="43" name="Picture"/>
            <a:graphic>
              <a:graphicData uri="http://schemas.openxmlformats.org/drawingml/2006/picture">
                <pic:pic>
                  <pic:nvPicPr>
                    <pic:cNvPr descr="../../figures/gen5_feeder_candidate_r1.png" id="44" name="Picture"/>
                    <pic:cNvPicPr>
                      <a:picLocks noChangeArrowheads="1" noChangeAspect="1"/>
                    </pic:cNvPicPr>
                  </pic:nvPicPr>
                  <pic:blipFill>
                    <a:blip r:embed="rId42"/>
                    <a:stretch>
                      <a:fillRect/>
                    </a:stretch>
                  </pic:blipFill>
                  <pic:spPr bwMode="auto">
                    <a:xfrm>
                      <a:off x="0" y="0"/>
                      <a:ext cx="4800600" cy="3382240"/>
                    </a:xfrm>
                    <a:prstGeom prst="rect">
                      <a:avLst/>
                    </a:prstGeom>
                    <a:noFill/>
                    <a:ln w="9525">
                      <a:noFill/>
                      <a:headEnd/>
                      <a:tailEnd/>
                    </a:ln>
                  </pic:spPr>
                </pic:pic>
              </a:graphicData>
            </a:graphic>
          </wp:inline>
        </w:drawing>
      </w:r>
    </w:p>
    <w:p>
      <w:pPr>
        <w:pStyle w:val="ImageCaption"/>
      </w:pPr>
      <w:r>
        <w:t xml:space="preserve">R1 candidate section; geometry drawing, not a qualified mechanism.</w:t>
      </w:r>
    </w:p>
    <w:p>
      <w:pPr>
        <w:pStyle w:val="BodyText"/>
      </w:pPr>
      <w:r>
        <w:t xml:space="preserve">A</w:t>
      </w:r>
      <w:r>
        <w:t xml:space="preserve"> </w:t>
      </w:r>
      <w:r>
        <w:rPr>
          <w:b/>
          <w:bCs/>
        </w:rPr>
        <w:t xml:space="preserve">matched reference comparison</w:t>
      </w:r>
      <w:r>
        <w:t xml:space="preserve"> </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5">
        <w:r>
          <w:rPr>
            <w:rStyle w:val="Hyperlink"/>
          </w:rPr>
          <w:t xml:space="preserve">matched mission inputs</w:t>
        </w:r>
      </w:hyperlink>
      <w:r>
        <w:t xml:space="preserve">.</w:t>
      </w:r>
    </w:p>
    <w:p>
      <w:pPr>
        <w:pStyle w:val="CaptionedFigure"/>
      </w:pPr>
      <w:r>
        <w:drawing>
          <wp:inline>
            <wp:extent cx="5120640" cy="2150668"/>
            <wp:effectExtent b="0" l="0" r="0" t="0"/>
            <wp:docPr descr="Matched reference results; assumed host and device classes." title="" id="47" name="Picture"/>
            <a:graphic>
              <a:graphicData uri="http://schemas.openxmlformats.org/drawingml/2006/picture">
                <pic:pic>
                  <pic:nvPicPr>
                    <pic:cNvPr descr="../../figures/matched_mission_reference.png" id="48" name="Picture"/>
                    <pic:cNvPicPr>
                      <a:picLocks noChangeArrowheads="1" noChangeAspect="1"/>
                    </pic:cNvPicPr>
                  </pic:nvPicPr>
                  <pic:blipFill>
                    <a:blip r:embed="rId46"/>
                    <a:stretch>
                      <a:fillRect/>
                    </a:stretch>
                  </pic:blipFill>
                  <pic:spPr bwMode="auto">
                    <a:xfrm>
                      <a:off x="0" y="0"/>
                      <a:ext cx="5120640" cy="2150668"/>
                    </a:xfrm>
                    <a:prstGeom prst="rect">
                      <a:avLst/>
                    </a:prstGeom>
                    <a:noFill/>
                    <a:ln w="9525">
                      <a:noFill/>
                      <a:headEnd/>
                      <a:tailEnd/>
                    </a:ln>
                  </pic:spPr>
                </pic:pic>
              </a:graphicData>
            </a:graphic>
          </wp:inline>
        </w:drawing>
      </w:r>
    </w:p>
    <w:p>
      <w:pPr>
        <w:pStyle w:val="ImageCaption"/>
      </w:pPr>
      <w:r>
        <w:t xml:space="preserve">Matched reference results; assumed host and device classes.</w:t>
      </w:r>
    </w:p>
    <w:bookmarkStart w:id="54" w:name="X28e973c78545135c2e1eda9072c4a24fabe8585"/>
    <w:p>
      <w:pPr>
        <w:pStyle w:val="Heading2"/>
      </w:pPr>
      <w:r>
        <w:t xml:space="preserve">New installed-burden and precision-delivery screens</w:t>
      </w:r>
    </w:p>
    <w:p>
      <w:pPr>
        <w:pStyle w:val="FirstParagraph"/>
      </w:pPr>
      <w:hyperlink r:id="rId49">
        <w:r>
          <w:rPr>
            <w:rStyle w:val="Hyperlink"/>
          </w:rPr>
          <w:t xml:space="preserve">P123</w:t>
        </w:r>
      </w:hyperlink>
      <w:r>
        <w:t xml:space="preserve"> </w:t>
      </w:r>
      <w:r>
        <w:t xml:space="preserve">resizes initial fuel to one ideal release plus an equal 2 kg reserve: despite saving 1.866 kg of host propellant in the fixed-fuel event, Gen5’s device plus resized fuel is</w:t>
      </w:r>
      <w:r>
        <w:t xml:space="preserve"> </w:t>
      </w:r>
      <w:r>
        <w:rPr>
          <w:b/>
          <w:bCs/>
        </w:rPr>
        <w:t xml:space="preserve">52.717 kg heavier</w:t>
      </w:r>
      <w:r>
        <w:t xml:space="preserve"> </w:t>
      </w:r>
      <w:r>
        <w:t xml:space="preserve">than the spring reference. The mass penalty does not by itself price a tailored delivery service, but it sets a serious burden for a buyer-backed mission to justify.</w:t>
      </w:r>
    </w:p>
    <w:p>
      <w:pPr>
        <w:pStyle w:val="BodyText"/>
      </w:pPr>
      <w:hyperlink r:id="rId50">
        <w:r>
          <w:rPr>
            <w:rStyle w:val="Hyperlink"/>
          </w:rPr>
          <w:t xml:space="preserve">P124</w:t>
        </w:r>
      </w:hyperlink>
      <w:r>
        <w:t xml:space="preserve"> </w:t>
      </w:r>
      <w:r>
        <w:t xml:space="preserve">converts an explicitly assumed 450 km orbit target into ideal tangential increment and load requirements. A 20 km immediate axis rise takes about 11.149 m/s; a ±0.1 km axis tolerance leaves about 0.0555 m/s for the entire tangential-error allocation on its smaller side. A real delivery accuracy budget must include host state, vector, timing, propagation and tracking. At 1 km/s over Gen5’s 1.3 m stroke, an ordinary 4 kg 3U would face about</w:t>
      </w:r>
      <w:r>
        <w:t xml:space="preserve"> </w:t>
      </w:r>
      <w:r>
        <w:rPr>
          <w:b/>
          <w:bCs/>
        </w:rPr>
        <w:t xml:space="preserve">39,220 g</w:t>
      </w:r>
      <w:r>
        <w:t xml:space="preserve"> </w:t>
      </w:r>
      <w:r>
        <w:t xml:space="preserve">ideal mean acceleration and 2 MJ payload kinetic energy. The first Gen6 prototype should be scoped from a named payload and mission, with the 1 km/s objective held as separate research. None of these calculations measures VOLLEY precision.</w:t>
      </w:r>
    </w:p>
    <w:p>
      <w:pPr>
        <w:pStyle w:val="CaptionedFigure"/>
      </w:pPr>
      <w:r>
        <w:drawing>
          <wp:inline>
            <wp:extent cx="4800600" cy="2880360"/>
            <wp:effectExtent b="0" l="0" r="0" t="0"/>
            <wp:docPr descr="Ideal stroke/load requirements, not a measured VOLLEY command envelope." title="" id="52" name="Picture"/>
            <a:graphic>
              <a:graphicData uri="http://schemas.openxmlformats.org/drawingml/2006/picture">
                <pic:pic>
                  <pic:nvPicPr>
                    <pic:cNvPr descr="../../figures/precision_delivery_design_space.png" id="53" name="Picture"/>
                    <pic:cNvPicPr>
                      <a:picLocks noChangeArrowheads="1" noChangeAspect="1"/>
                    </pic:cNvPicPr>
                  </pic:nvPicPr>
                  <pic:blipFill>
                    <a:blip r:embed="rId51"/>
                    <a:stretch>
                      <a:fillRect/>
                    </a:stretch>
                  </pic:blipFill>
                  <pic:spPr bwMode="auto">
                    <a:xfrm>
                      <a:off x="0" y="0"/>
                      <a:ext cx="4800600" cy="2880360"/>
                    </a:xfrm>
                    <a:prstGeom prst="rect">
                      <a:avLst/>
                    </a:prstGeom>
                    <a:noFill/>
                    <a:ln w="9525">
                      <a:noFill/>
                      <a:headEnd/>
                      <a:tailEnd/>
                    </a:ln>
                  </pic:spPr>
                </pic:pic>
              </a:graphicData>
            </a:graphic>
          </wp:inline>
        </w:drawing>
      </w:r>
    </w:p>
    <w:p>
      <w:pPr>
        <w:pStyle w:val="ImageCaption"/>
      </w:pPr>
      <w:r>
        <w:t xml:space="preserve">Ideal stroke/load requirements, not a measured VOLLEY command envelope.</w:t>
      </w:r>
    </w:p>
    <w:bookmarkEnd w:id="54"/>
    <w:bookmarkEnd w:id="55"/>
    <w:bookmarkStart w:id="66" w:name="introduction"/>
    <w:p>
      <w:pPr>
        <w:pStyle w:val="Heading1"/>
      </w:pPr>
      <w:r>
        <w:t xml:space="preserve">1. Introduction</w:t>
      </w:r>
    </w:p>
    <w:bookmarkStart w:id="56"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56"/>
    <w:bookmarkStart w:id="65" w:name="buyer-and-spacecraft-fit"/>
    <w:p>
      <w:pPr>
        <w:pStyle w:val="Heading2"/>
      </w:pPr>
      <w:r>
        <w:t xml:space="preserve">Buyer and spacecraft fit</w:t>
      </w:r>
    </w:p>
    <w:p>
      <w:pPr>
        <w:pStyle w:val="FirstParagraph"/>
      </w:pPr>
      <w:r>
        <w:t xml:space="preserve">The</w:t>
      </w:r>
      <w:r>
        <w:t xml:space="preserve"> </w:t>
      </w:r>
      <w:hyperlink r:id="rId57">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58">
        <w:r>
          <w:rPr>
            <w:rStyle w:val="Hyperlink"/>
          </w:rPr>
          <w:t xml:space="preserve">Planet’s FY2026 filing</w:t>
        </w:r>
      </w:hyperlink>
      <w:r>
        <w:t xml:space="preserve"> </w:t>
      </w:r>
      <w:r>
        <w:t xml:space="preserve">and</w:t>
      </w:r>
      <w:r>
        <w:t xml:space="preserve"> </w:t>
      </w:r>
      <w:hyperlink r:id="rId59">
        <w:r>
          <w:rPr>
            <w:rStyle w:val="Hyperlink"/>
          </w:rPr>
          <w:t xml:space="preserve">Spire’s 2025 filing</w:t>
        </w:r>
      </w:hyperlink>
      <w:r>
        <w:t xml:space="preserve"> </w:t>
      </w:r>
      <w:r>
        <w:t xml:space="preserve">show repeatable, configurable smallsat production.</w:t>
      </w:r>
      <w:r>
        <w:t xml:space="preserve"> </w:t>
      </w:r>
      <w:hyperlink r:id="rId60">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For an economic result, price and simulate the same manifest delivered with ordinary spring impulse, spring plus host manoeuvres, onboard propulsion, an orbital-transport service and VOLLEY. The published</w:t>
      </w:r>
      <w:r>
        <w:t xml:space="preserve"> </w:t>
      </w:r>
      <w:hyperlink r:id="rId61">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334000" cy="2669996"/>
            <wp:effectExtent b="0" l="0" r="0" t="0"/>
            <wp:docPr descr="Gen5 layout and mission hardware elements. Diagram from the thesis analysis." title="" id="63" name="Picture"/>
            <a:graphic>
              <a:graphicData uri="http://schemas.openxmlformats.org/drawingml/2006/picture">
                <pic:pic>
                  <pic:nvPicPr>
                    <pic:cNvPr descr="../../source/figures/D02_layout.png" id="64" name="Picture"/>
                    <pic:cNvPicPr>
                      <a:picLocks noChangeArrowheads="1" noChangeAspect="1"/>
                    </pic:cNvPicPr>
                  </pic:nvPicPr>
                  <pic:blipFill>
                    <a:blip r:embed="rId62"/>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65"/>
    <w:bookmarkEnd w:id="66"/>
    <w:bookmarkStart w:id="67"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67"/>
    <w:bookmarkStart w:id="68"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68"/>
    <w:bookmarkStart w:id="69"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69"/>
    <w:bookmarkStart w:id="77"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Historical modeled shot: velocity, bank voltage and current." title="" id="71" name="Picture"/>
            <a:graphic>
              <a:graphicData uri="http://schemas.openxmlformats.org/drawingml/2006/picture">
                <pic:pic>
                  <pic:nvPicPr>
                    <pic:cNvPr descr="../../source/figures/F01_shot.png" id="72" name="Picture"/>
                    <pic:cNvPicPr>
                      <a:picLocks noChangeArrowheads="1" noChangeAspect="1"/>
                    </pic:cNvPicPr>
                  </pic:nvPicPr>
                  <pic:blipFill>
                    <a:blip r:embed="rId70"/>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Historical modeled shot: velocity, bank voltage and current.</w:t>
      </w:r>
    </w:p>
    <w:bookmarkStart w:id="76"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74" name="Picture"/>
            <a:graphic>
              <a:graphicData uri="http://schemas.openxmlformats.org/drawingml/2006/picture">
                <pic:pic>
                  <pic:nvPicPr>
                    <pic:cNvPr descr="../../source/figures/A02_field_map.png" id="75" name="Picture"/>
                    <pic:cNvPicPr>
                      <a:picLocks noChangeArrowheads="1" noChangeAspect="1"/>
                    </pic:cNvPicPr>
                  </pic:nvPicPr>
                  <pic:blipFill>
                    <a:blip r:embed="rId73"/>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76"/>
    <w:bookmarkEnd w:id="77"/>
    <w:bookmarkStart w:id="79" w:name="timeline"/>
    <w:p>
      <w:pPr>
        <w:pStyle w:val="Heading1"/>
      </w:pPr>
      <w:r>
        <w:t xml:space="preserve">6. Timeline</w:t>
      </w:r>
    </w:p>
    <w:bookmarkStart w:id="78"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78"/>
    <w:bookmarkEnd w:id="79"/>
    <w:bookmarkStart w:id="80"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80"/>
    <w:bookmarkStart w:id="106" w:name="results"/>
    <w:p>
      <w:pPr>
        <w:pStyle w:val="Heading1"/>
      </w:pPr>
      <w:r>
        <w:t xml:space="preserve">8. Results</w:t>
      </w:r>
    </w:p>
    <w:bookmarkStart w:id="81"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bookmarkEnd w:id="81"/>
    <w:bookmarkStart w:id="83"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82">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83"/>
    <w:bookmarkStart w:id="87"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85" name="Picture"/>
            <a:graphic>
              <a:graphicData uri="http://schemas.openxmlformats.org/drawingml/2006/picture">
                <pic:pic>
                  <pic:nvPicPr>
                    <pic:cNvPr descr="../../source/figures/F03_mc.png" id="86" name="Picture"/>
                    <pic:cNvPicPr>
                      <a:picLocks noChangeArrowheads="1" noChangeAspect="1"/>
                    </pic:cNvPicPr>
                  </pic:nvPicPr>
                  <pic:blipFill>
                    <a:blip r:embed="rId84"/>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87"/>
    <w:bookmarkStart w:id="94" w:name="orbital-utility"/>
    <w:p>
      <w:pPr>
        <w:pStyle w:val="Heading2"/>
      </w:pPr>
      <w:r>
        <w:t xml:space="preserve">Orbital utility</w:t>
      </w:r>
    </w:p>
    <w:p>
      <w:pPr>
        <w:pStyle w:val="FirstParagraph"/>
      </w:pPr>
      <w:r>
        <w:t xml:space="preserve">For the stated orbit and mean-solar-activity case, an assumed historical 16.029 m/s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state returns</w:t>
      </w:r>
      <w:r>
        <w:t xml:space="preserve"> </w:t>
      </w:r>
      <w:r>
        <w:rPr>
          <w:b/>
          <w:bCs/>
        </w:rPr>
        <w:t xml:space="preserve">28.800775 km</w:t>
      </w:r>
      <w:r>
        <w:t xml:space="preserve">, agreeing within the declared numerical band. This checks only the immediate orbital-energy result. The atmospheric lifetime multiplier has not been independently reproduced at the exact current point. Timing alone, with zero relative impulse and no host or drag difference, produces neither persistent phasing nor this semi-major-axis change.</w:t>
      </w:r>
    </w:p>
    <w:p>
      <w:pPr>
        <w:pStyle w:val="CaptionedFigure"/>
      </w:pPr>
      <w:r>
        <w:drawing>
          <wp:inline>
            <wp:extent cx="4907280" cy="2473613"/>
            <wp:effectExtent b="0" l="0" r="0" t="0"/>
            <wp:docPr descr="Independent rated-state two-body orbit check. The lifetime claim is outside its scope." title="" id="89" name="Picture"/>
            <a:graphic>
              <a:graphicData uri="http://schemas.openxmlformats.org/drawingml/2006/picture">
                <pic:pic>
                  <pic:nvPicPr>
                    <pic:cNvPr descr="../../figures/rated_orbit_crosscheck.png" id="90" name="Picture"/>
                    <pic:cNvPicPr>
                      <a:picLocks noChangeArrowheads="1" noChangeAspect="1"/>
                    </pic:cNvPicPr>
                  </pic:nvPicPr>
                  <pic:blipFill>
                    <a:blip r:embed="rId88"/>
                    <a:stretch>
                      <a:fillRect/>
                    </a:stretch>
                  </pic:blipFill>
                  <pic:spPr bwMode="auto">
                    <a:xfrm>
                      <a:off x="0" y="0"/>
                      <a:ext cx="4907280" cy="2473613"/>
                    </a:xfrm>
                    <a:prstGeom prst="rect">
                      <a:avLst/>
                    </a:prstGeom>
                    <a:noFill/>
                    <a:ln w="9525">
                      <a:noFill/>
                      <a:headEnd/>
                      <a:tailEnd/>
                    </a:ln>
                  </pic:spPr>
                </pic:pic>
              </a:graphicData>
            </a:graphic>
          </wp:inline>
        </w:drawing>
      </w:r>
    </w:p>
    <w:p>
      <w:pPr>
        <w:pStyle w:val="ImageCaption"/>
      </w:pPr>
      <w:r>
        <w:t xml:space="preserve">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92" name="Picture"/>
            <a:graphic>
              <a:graphicData uri="http://schemas.openxmlformats.org/drawingml/2006/picture">
                <pic:pic>
                  <pic:nvPicPr>
                    <pic:cNvPr descr="../../source/figures/F04_life.png" id="93" name="Picture"/>
                    <pic:cNvPicPr>
                      <a:picLocks noChangeArrowheads="1" noChangeAspect="1"/>
                    </pic:cNvPicPr>
                  </pic:nvPicPr>
                  <pic:blipFill>
                    <a:blip r:embed="rId91"/>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94"/>
    <w:bookmarkStart w:id="98"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96" name="Picture"/>
            <a:graphic>
              <a:graphicData uri="http://schemas.openxmlformats.org/drawingml/2006/picture">
                <pic:pic>
                  <pic:nvPicPr>
                    <pic:cNvPr descr="../../source/figures/A35_ledger.png" id="97" name="Picture"/>
                    <pic:cNvPicPr>
                      <a:picLocks noChangeArrowheads="1" noChangeAspect="1"/>
                    </pic:cNvPicPr>
                  </pic:nvPicPr>
                  <pic:blipFill>
                    <a:blip r:embed="rId95"/>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98"/>
    <w:bookmarkStart w:id="104" w:name="native-cad-and-packaging-review"/>
    <w:p>
      <w:pPr>
        <w:pStyle w:val="Heading2"/>
      </w:pPr>
      <w:r>
        <w:t xml:space="preserve">Native CAD and packaging review</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99">
        <w:r>
          <w:rPr>
            <w:rStyle w:val="Hyperlink"/>
          </w:rPr>
          <w:t xml:space="preserve">CAD review report</w:t>
        </w:r>
      </w:hyperlink>
      <w:r>
        <w:t xml:space="preserve"> </w:t>
      </w:r>
      <w:r>
        <w:t xml:space="preserve">identifies source revisions and checks, while</w:t>
      </w:r>
      <w:r>
        <w:t xml:space="preserve"> </w:t>
      </w:r>
      <w:hyperlink r:id="rId100">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This fails that packaging arrangement. A different feed architecture, enclosure or dimension set requires a new configuration and reassessment; the current render must not be presented as an assembled flight article.</w:t>
      </w:r>
    </w:p>
    <w:p>
      <w:pPr>
        <w:pStyle w:val="CaptionedFigure"/>
      </w:pPr>
      <w:r>
        <w:drawing>
          <wp:inline>
            <wp:extent cx="4907280" cy="6642781"/>
            <wp:effectExtent b="0" l="0" r="0" t="0"/>
            <wp:docPr descr="Dimensioned side-fed reference cross-section; this configuration fails the width check." title="" id="102" name="Picture"/>
            <a:graphic>
              <a:graphicData uri="http://schemas.openxmlformats.org/drawingml/2006/picture">
                <pic:pic>
                  <pic:nvPicPr>
                    <pic:cNvPr descr="../../figures/gen5_packaging_section.png" id="103" name="Picture"/>
                    <pic:cNvPicPr>
                      <a:picLocks noChangeArrowheads="1" noChangeAspect="1"/>
                    </pic:cNvPicPr>
                  </pic:nvPicPr>
                  <pic:blipFill>
                    <a:blip r:embed="rId101"/>
                    <a:stretch>
                      <a:fillRect/>
                    </a:stretch>
                  </pic:blipFill>
                  <pic:spPr bwMode="auto">
                    <a:xfrm>
                      <a:off x="0" y="0"/>
                      <a:ext cx="4907280" cy="6642781"/>
                    </a:xfrm>
                    <a:prstGeom prst="rect">
                      <a:avLst/>
                    </a:prstGeom>
                    <a:noFill/>
                    <a:ln w="9525">
                      <a:noFill/>
                      <a:headEnd/>
                      <a:tailEnd/>
                    </a:ln>
                  </pic:spPr>
                </pic:pic>
              </a:graphicData>
            </a:graphic>
          </wp:inline>
        </w:drawing>
      </w:r>
    </w:p>
    <w:p>
      <w:pPr>
        <w:pStyle w:val="ImageCaption"/>
      </w:pPr>
      <w:r>
        <w:t xml:space="preserve">Dimensioned side-fed reference cross-section; this configuration fails the width check.</w:t>
      </w:r>
    </w:p>
    <w:bookmarkEnd w:id="104"/>
    <w:bookmarkStart w:id="105" w:name="decision-and-evidence-boundary"/>
    <w:p>
      <w:pPr>
        <w:pStyle w:val="Heading2"/>
      </w:pPr>
      <w:r>
        <w:t xml:space="preserve">Decision and evidence boundary</w:t>
      </w:r>
    </w:p>
    <w:p>
      <w:pPr>
        <w:pStyle w:val="FirstParagraph"/>
      </w:pPr>
      <w:r>
        <w:t xml:space="preserve">The analytical result has four parts. The historical model represents a proposed commandable release and a conditional orbital-energy benefit, but its speed is challenged by finite geometry;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bookmarkEnd w:id="105"/>
    <w:bookmarkEnd w:id="106"/>
    <w:bookmarkStart w:id="107" w:name="conclusion"/>
    <w:p>
      <w:pPr>
        <w:pStyle w:val="Heading1"/>
      </w:pPr>
      <w:r>
        <w:t xml:space="preserve">9. Conclusion</w:t>
      </w:r>
    </w:p>
    <w:p>
      <w:pPr>
        <w:pStyle w:val="FirstParagraph"/>
      </w:pPr>
      <w:r>
        <w:t xml:space="preserve">The Gen5 computational thesis reaches a research conclusion within its stated scope. Its model predicts a commandable moderate-acceleration release and a conditional orbital-energy benefit, with a separate check of the immediate two-body orbital change.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107"/>
    <w:bookmarkStart w:id="108"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108"/>
    <w:bookmarkStart w:id="109"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57" Target="../../MARKET_AND_CUSTOMER_FIT.md" TargetMode="External" /><Relationship Type="http://schemas.openxmlformats.org/officeDocument/2006/relationships/hyperlink" Id="rId41" Target="../../cad/FEEDER_CANDIDATE_R1.md" TargetMode="External" /><Relationship Type="http://schemas.openxmlformats.org/officeDocument/2006/relationships/hyperlink" Id="rId99" Target="../../cad/GEN5_CAD_REVIEW.pdf" TargetMode="External" /><Relationship Type="http://schemas.openxmlformats.org/officeDocument/2006/relationships/hyperlink" Id="rId45" Target="../../docs/MATCHED_MISSION_REFERENCE.md" TargetMode="External" /><Relationship Type="http://schemas.openxmlformats.org/officeDocument/2006/relationships/hyperlink" Id="rId100" Target="../../validation/P116_gen5_assembly_packaging.md" TargetMode="External" /><Relationship Type="http://schemas.openxmlformats.org/officeDocument/2006/relationships/hyperlink" Id="rId82"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7" Target="../../validation/P120_gen5_finite_coupled_shot.md" TargetMode="External" /><Relationship Type="http://schemas.openxmlformats.org/officeDocument/2006/relationships/hyperlink" Id="rId32" Target="../../validation/P121_gen5_finite_force_surface3d.md" TargetMode="External" /><Relationship Type="http://schemas.openxmlformats.org/officeDocument/2006/relationships/hyperlink" Id="rId33" Target="../../validation/P122_gen5_finite_force_sensitivity.md" TargetMode="External" /><Relationship Type="http://schemas.openxmlformats.org/officeDocument/2006/relationships/hyperlink" Id="rId49" Target="../../validation/P123_gen5_one_event_mass_screen.md" TargetMode="External" /><Relationship Type="http://schemas.openxmlformats.org/officeDocument/2006/relationships/hyperlink" Id="rId50" Target="../../validation/P124_precision_delivery_design_space.md" TargetMode="External" /><Relationship Type="http://schemas.openxmlformats.org/officeDocument/2006/relationships/hyperlink" Id="rId61" Target="https://new.spacex.com/rideshare" TargetMode="External" /><Relationship Type="http://schemas.openxmlformats.org/officeDocument/2006/relationships/hyperlink" Id="rId60" Target="https://www.nasa.gov/smallsat-institute/sst-soa/integration-launch-and-deployment/" TargetMode="External" /><Relationship Type="http://schemas.openxmlformats.org/officeDocument/2006/relationships/hyperlink" Id="rId59" Target="https://www.sec.gov/Archives/edgar/data/1816017/000119312526116169/spir-20251231.htm" TargetMode="External" /><Relationship Type="http://schemas.openxmlformats.org/officeDocument/2006/relationships/hyperlink" Id="rId58" Target="https://www.sec.gov/Archives/edgar/data/1836833/000119312526119957/pl-20260131.htm" TargetMode="External" /></Relationships>
</file>

<file path=word/_rels/footnotes.xml.rels><?xml version="1.0" encoding="UTF-8"?><Relationships xmlns="http://schemas.openxmlformats.org/package/2006/relationships"><Relationship Type="http://schemas.openxmlformats.org/officeDocument/2006/relationships/hyperlink" Id="rId57" Target="../../MARKET_AND_CUSTOMER_FIT.md" TargetMode="External" /><Relationship Type="http://schemas.openxmlformats.org/officeDocument/2006/relationships/hyperlink" Id="rId41" Target="../../cad/FEEDER_CANDIDATE_R1.md" TargetMode="External" /><Relationship Type="http://schemas.openxmlformats.org/officeDocument/2006/relationships/hyperlink" Id="rId99" Target="../../cad/GEN5_CAD_REVIEW.pdf" TargetMode="External" /><Relationship Type="http://schemas.openxmlformats.org/officeDocument/2006/relationships/hyperlink" Id="rId45" Target="../../docs/MATCHED_MISSION_REFERENCE.md" TargetMode="External" /><Relationship Type="http://schemas.openxmlformats.org/officeDocument/2006/relationships/hyperlink" Id="rId100" Target="../../validation/P116_gen5_assembly_packaging.md" TargetMode="External" /><Relationship Type="http://schemas.openxmlformats.org/officeDocument/2006/relationships/hyperlink" Id="rId82"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7" Target="../../validation/P120_gen5_finite_coupled_shot.md" TargetMode="External" /><Relationship Type="http://schemas.openxmlformats.org/officeDocument/2006/relationships/hyperlink" Id="rId32" Target="../../validation/P121_gen5_finite_force_surface3d.md" TargetMode="External" /><Relationship Type="http://schemas.openxmlformats.org/officeDocument/2006/relationships/hyperlink" Id="rId33" Target="../../validation/P122_gen5_finite_force_sensitivity.md" TargetMode="External" /><Relationship Type="http://schemas.openxmlformats.org/officeDocument/2006/relationships/hyperlink" Id="rId49" Target="../../validation/P123_gen5_one_event_mass_screen.md" TargetMode="External" /><Relationship Type="http://schemas.openxmlformats.org/officeDocument/2006/relationships/hyperlink" Id="rId50" Target="../../validation/P124_precision_delivery_design_space.md" TargetMode="External" /><Relationship Type="http://schemas.openxmlformats.org/officeDocument/2006/relationships/hyperlink" Id="rId61" Target="https://new.spacex.com/rideshare" TargetMode="External" /><Relationship Type="http://schemas.openxmlformats.org/officeDocument/2006/relationships/hyperlink" Id="rId60" Target="https://www.nasa.gov/smallsat-institute/sst-soa/integration-launch-and-deployment/" TargetMode="External" /><Relationship Type="http://schemas.openxmlformats.org/officeDocument/2006/relationships/hyperlink" Id="rId59" Target="https://www.sec.gov/Archives/edgar/data/1816017/000119312526116169/spir-20251231.htm" TargetMode="External" /><Relationship Type="http://schemas.openxmlformats.org/officeDocument/2006/relationships/hyperlink" Id="rId58" Target="https://www.sec.gov/Archives/edgar/data/1836833/000119312526119957/pl-2026013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2026-10-10T12:39:29Z</dcterms:created>
  <dcterms:modified xsi:type="dcterms:W3CDTF">2026-10-10T12:39:29Z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