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45.png" ContentType="image/png"/>
  <Override PartName="/word/media/rId41.png" ContentType="image/png"/>
  <Override PartName="/word/media/rId29.png" ContentType="image/png"/>
  <Override PartName="/word/media/rId25.png" ContentType="image/png"/>
  <Override PartName="/word/media/rId34.png" ContentType="image/png"/>
  <Override PartName="/word/media/rId104.png" ContentType="image/png"/>
  <Override PartName="/word/media/rId49.png" ContentType="image/png"/>
  <Override PartName="/word/media/rId54.png" ContentType="image/png"/>
  <Override PartName="/word/media/rId91.png" ContentType="image/png"/>
  <Override PartName="/word/media/rId76.png" ContentType="image/png"/>
  <Override PartName="/word/media/rId98.png" ContentType="image/png"/>
  <Override PartName="/word/media/rId65.png" ContentType="image/png"/>
  <Override PartName="/word/media/rId73.png" ContentType="image/png"/>
  <Override PartName="/word/media/rId87.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12</w:t>
      </w:r>
      <w:r>
        <w:t xml:space="preserve"> </w:t>
      </w:r>
      <w:r>
        <w:t xml:space="preserve">October</w:t>
      </w:r>
      <w:r>
        <w:t xml:space="preserve"> </w:t>
      </w:r>
      <w:r>
        <w:t xml:space="preserve">2026</w:t>
      </w:r>
      <w:r>
        <w:t xml:space="preserve"> </w:t>
      </w:r>
      <w:r>
        <w:t xml:space="preserve">(post-review</w:t>
      </w:r>
      <w:r>
        <w:t xml:space="preserve"> </w:t>
      </w:r>
      <w:r>
        <w:t xml:space="preserve">update)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639026"/>
            <wp:effectExtent b="0" l="0" r="0" t="0"/>
            <wp:docPr descr="Gen5 reference FreeCAD/STEP assembly visualized in Blender with enclosure hidden. Known side-fed clash remains; no physical article exists." title="" id="21" name="Picture"/>
            <a:graphic>
              <a:graphicData uri="http://schemas.openxmlformats.org/drawingml/2006/picture">
                <pic:pic>
                  <pic:nvPicPr>
                    <pic:cNvPr descr="../../cad/renders/step_review/gen5_reference_open.jpg" id="22" name="Picture"/>
                    <pic:cNvPicPr>
                      <a:picLocks noChangeArrowheads="1" noChangeAspect="1"/>
                    </pic:cNvPicPr>
                  </pic:nvPicPr>
                  <pic:blipFill>
                    <a:blip r:embed="rId20"/>
                    <a:stretch>
                      <a:fillRect/>
                    </a:stretch>
                  </pic:blipFill>
                  <pic:spPr bwMode="auto">
                    <a:xfrm>
                      <a:off x="0" y="0"/>
                      <a:ext cx="4693920" cy="2639026"/>
                    </a:xfrm>
                    <a:prstGeom prst="rect">
                      <a:avLst/>
                    </a:prstGeom>
                    <a:noFill/>
                    <a:ln w="9525">
                      <a:noFill/>
                      <a:headEnd/>
                      <a:tailEnd/>
                    </a:ln>
                  </pic:spPr>
                </pic:pic>
              </a:graphicData>
            </a:graphic>
          </wp:inline>
        </w:drawing>
      </w:r>
    </w:p>
    <w:p>
      <w:pPr>
        <w:pStyle w:val="ImageCaption"/>
      </w:pPr>
      <w:r>
        <w:t xml:space="preserve">Gen5 reference FreeCAD/STEP assembly visualized in Blender with enclosure hidden. Known side-fed clash remains;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58" w:name="X0a90c0239307c577b2c225485d61c9c794e51ce"/>
    <w:p>
      <w:pPr>
        <w:pStyle w:val="Heading1"/>
      </w:pPr>
      <w:r>
        <w:t xml:space="preserve">Finite-force, feeder-route and mission findings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28">
        <w:r>
          <w:rPr>
            <w:rStyle w:val="Hyperlink"/>
          </w:rPr>
          <w:t xml:space="preserve">P119</w:t>
        </w:r>
      </w:hyperlink>
      <w:r>
        <w:t xml:space="preserve"> </w:t>
      </w:r>
      <w:r>
        <w:t xml:space="preserve">records meshes, convergence and assumptions.</w:t>
      </w:r>
    </w:p>
    <w:p>
      <w:pPr>
        <w:pStyle w:val="CaptionedFigure"/>
      </w:pPr>
      <w:r>
        <w:drawing>
          <wp:inline>
            <wp:extent cx="5120640" cy="2617216"/>
            <wp:effectExtent b="0" l="0" r="0" t="0"/>
            <wp:docPr descr="Independent 2-D finite-element force screen, not a measurement." title="" id="30" name="Picture"/>
            <a:graphic>
              <a:graphicData uri="http://schemas.openxmlformats.org/drawingml/2006/picture">
                <pic:pic>
                  <pic:nvPicPr>
                    <pic:cNvPr descr="../../figures/gen5_finite_force_fem2d.png" id="31" name="Picture"/>
                    <pic:cNvPicPr>
                      <a:picLocks noChangeArrowheads="1" noChangeAspect="1"/>
                    </pic:cNvPicPr>
                  </pic:nvPicPr>
                  <pic:blipFill>
                    <a:blip r:embed="rId29"/>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Independent 2-D finite-element force screen, not a measurement.</w:t>
      </w:r>
    </w:p>
    <w:p>
      <w:pPr>
        <w:pStyle w:val="BodyText"/>
      </w:pPr>
      <w:r>
        <w:t xml:space="preserve">A separate</w:t>
      </w:r>
      <w:r>
        <w:t xml:space="preserve"> </w:t>
      </w:r>
      <w:r>
        <w:rPr>
          <w:b/>
          <w:bCs/>
        </w:rPr>
        <w:t xml:space="preserve">depth-resolved 3-D numerical surface-charge implementation</w:t>
      </w:r>
      <w:r>
        <w:t xml:space="preserve"> </w:t>
      </w:r>
      <w:r>
        <w:t xml:space="preserve">integrates the full 90 mm magnet depth and all 162 stator belts. It independently returns</w:t>
      </w:r>
      <w:r>
        <w:t xml:space="preserve"> </w:t>
      </w:r>
      <w:r>
        <w:rPr>
          <w:b/>
          <w:bCs/>
        </w:rPr>
        <w:t xml:space="preserve">1.042 kJ ideal work</w:t>
      </w:r>
      <w:r>
        <w:t xml:space="preserve">, matching P118 under shared geometry, remanence and ideal-phase assumptions. Face quadrature refinement from 16 to 24 nodes changes work by 0.00002%; halving the station spacing changes work by 0.096%. This checks the numerical formulation, not a selected motor or physical thrust. An illustrative 14 mm face gap gives</w:t>
      </w:r>
      <w:r>
        <w:t xml:space="preserve"> </w:t>
      </w:r>
      <w:r>
        <w:rPr>
          <w:b/>
          <w:bCs/>
        </w:rPr>
        <w:t xml:space="preserve">0.907 kJ</w:t>
      </w:r>
      <w:r>
        <w:t xml:space="preserve"> </w:t>
      </w:r>
      <w:r>
        <w:t xml:space="preserve">rather than 1.042 kJ at 12 mm, a 13.0% ideal-work reduction. A 10 mm copper-depth offset gives 0.961 kJ. These are deterministic sensitivity cases, not tolerance specifications. See</w:t>
      </w:r>
      <w:r>
        <w:t xml:space="preserve"> </w:t>
      </w:r>
      <w:hyperlink r:id="rId32">
        <w:r>
          <w:rPr>
            <w:rStyle w:val="Hyperlink"/>
          </w:rPr>
          <w:t xml:space="preserve">P121</w:t>
        </w:r>
      </w:hyperlink>
      <w:r>
        <w:t xml:space="preserve"> </w:t>
      </w:r>
      <w:r>
        <w:t xml:space="preserve">and</w:t>
      </w:r>
      <w:r>
        <w:t xml:space="preserve"> </w:t>
      </w:r>
      <w:hyperlink r:id="rId33">
        <w:r>
          <w:rPr>
            <w:rStyle w:val="Hyperlink"/>
          </w:rPr>
          <w:t xml:space="preserve">P122</w:t>
        </w:r>
      </w:hyperlink>
      <w:r>
        <w:t xml:space="preserve">.</w:t>
      </w:r>
    </w:p>
    <w:p>
      <w:pPr>
        <w:pStyle w:val="CaptionedFigure"/>
      </w:pPr>
      <w:r>
        <w:drawing>
          <wp:inline>
            <wp:extent cx="5120640" cy="2048256"/>
            <wp:effectExtent b="0" l="0" r="0" t="0"/>
            <wp:docPr descr="Ideal gap/depth sensitivity; scenarios rather than measured tolerances." title="" id="35" name="Picture"/>
            <a:graphic>
              <a:graphicData uri="http://schemas.openxmlformats.org/drawingml/2006/picture">
                <pic:pic>
                  <pic:nvPicPr>
                    <pic:cNvPr descr="../../figures/gen5_finite_force_sensitivity.png" id="36" name="Picture"/>
                    <pic:cNvPicPr>
                      <a:picLocks noChangeArrowheads="1" noChangeAspect="1"/>
                    </pic:cNvPicPr>
                  </pic:nvPicPr>
                  <pic:blipFill>
                    <a:blip r:embed="rId34"/>
                    <a:stretch>
                      <a:fillRect/>
                    </a:stretch>
                  </pic:blipFill>
                  <pic:spPr bwMode="auto">
                    <a:xfrm>
                      <a:off x="0" y="0"/>
                      <a:ext cx="5120640" cy="2048256"/>
                    </a:xfrm>
                    <a:prstGeom prst="rect">
                      <a:avLst/>
                    </a:prstGeom>
                    <a:noFill/>
                    <a:ln w="9525">
                      <a:noFill/>
                      <a:headEnd/>
                      <a:tailEnd/>
                    </a:ln>
                  </pic:spPr>
                </pic:pic>
              </a:graphicData>
            </a:graphic>
          </wp:inline>
        </w:drawing>
      </w:r>
    </w:p>
    <w:p>
      <w:pPr>
        <w:pStyle w:val="ImageCaption"/>
      </w:pPr>
      <w:r>
        <w:t xml:space="preserve">Ideal gap/depth sensitivity; scenarios rather than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37">
        <w:r>
          <w:rPr>
            <w:rStyle w:val="Hyperlink"/>
          </w:rPr>
          <w:t xml:space="preserve">P120</w:t>
        </w:r>
      </w:hyperlink>
      <w:r>
        <w:t xml:space="preserve"> </w:t>
      </w:r>
      <w:r>
        <w:t xml:space="preserve">gives the time history and energy ledger.</w:t>
      </w:r>
    </w:p>
    <w:p>
      <w:pPr>
        <w:pStyle w:val="BodyText"/>
      </w:pPr>
      <w:hyperlink r:id="rId38">
        <w:r>
          <w:rPr>
            <w:rStyle w:val="Hyperlink"/>
          </w:rPr>
          <w:t xml:space="preserve">P125</w:t>
        </w:r>
      </w:hyperlink>
      <w:r>
        <w:t xml:space="preserve"> </w:t>
      </w:r>
      <w:r>
        <w:t xml:space="preserve">now tests that finite force under an ideal quasi-steady phase-voltage/current bound. The old assumed 12 mΩ source reaches 12.448 m/s conditionally; a</w:t>
      </w:r>
      <w:r>
        <w:t xml:space="preserve"> </w:t>
      </w:r>
      <w:r>
        <w:rPr>
          <w:b/>
          <w:bCs/>
        </w:rPr>
        <w:t xml:space="preserve">single</w:t>
      </w:r>
      <w:r>
        <w:t xml:space="preserve"> </w:t>
      </w:r>
      <w:r>
        <w:t xml:space="preserve">source string in the older distributor-data 116–185 mΩ ESR range fails source power before release. Ideal parallel strings complete numerically only by increasing cells and mass. No selected motor rating exists.</w:t>
      </w:r>
      <w:r>
        <w:t xml:space="preserve"> </w:t>
      </w:r>
      <w:hyperlink r:id="rId39">
        <w:r>
          <w:rPr>
            <w:rStyle w:val="Hyperlink"/>
          </w:rPr>
          <w:t xml:space="preserve">P126</w:t>
        </w:r>
      </w:hyperlink>
      <w:r>
        <w:t xml:space="preserve"> </w:t>
      </w:r>
      <w:r>
        <w:t xml:space="preserve">also finds that an assumed 0.5° R1 alignment band consumes its 5 mm nominal side gap.</w:t>
      </w:r>
      <w:r>
        <w:t xml:space="preserve"> </w:t>
      </w:r>
      <w:hyperlink r:id="rId40">
        <w:r>
          <w:rPr>
            <w:rStyle w:val="Hyperlink"/>
          </w:rPr>
          <w:t xml:space="preserve">P127</w:t>
        </w:r>
      </w:hyperlink>
      <w:r>
        <w:t xml:space="preserve"> </w:t>
      </w:r>
      <w:r>
        <w:t xml:space="preserve">requires at least 37.6 g mean sled arrest over the provisional 210 mm brake; peak force and heat remain open.</w:t>
      </w:r>
    </w:p>
    <w:p>
      <w:pPr>
        <w:pStyle w:val="CaptionedFigure"/>
      </w:pPr>
      <w:r>
        <w:drawing>
          <wp:inline>
            <wp:extent cx="5120640" cy="3607723"/>
            <wp:effectExtent b="0" l="0" r="0" t="0"/>
            <wp:docPr descr="Finite-force speed and assumed bank energy histories." title="" id="42" name="Picture"/>
            <a:graphic>
              <a:graphicData uri="http://schemas.openxmlformats.org/drawingml/2006/picture">
                <pic:pic>
                  <pic:nvPicPr>
                    <pic:cNvPr descr="../../figures/gen5_finite_coupled_shot.png" id="43" name="Picture"/>
                    <pic:cNvPicPr>
                      <a:picLocks noChangeArrowheads="1" noChangeAspect="1"/>
                    </pic:cNvPicPr>
                  </pic:nvPicPr>
                  <pic:blipFill>
                    <a:blip r:embed="rId41"/>
                    <a:stretch>
                      <a:fillRect/>
                    </a:stretch>
                  </pic:blipFill>
                  <pic:spPr bwMode="auto">
                    <a:xfrm>
                      <a:off x="0" y="0"/>
                      <a:ext cx="5120640" cy="3607723"/>
                    </a:xfrm>
                    <a:prstGeom prst="rect">
                      <a:avLst/>
                    </a:prstGeom>
                    <a:noFill/>
                    <a:ln w="9525">
                      <a:noFill/>
                      <a:headEnd/>
                      <a:tailEnd/>
                    </a:ln>
                  </pic:spPr>
                </pic:pic>
              </a:graphicData>
            </a:graphic>
          </wp:inline>
        </w:drawing>
      </w:r>
    </w:p>
    <w:p>
      <w:pPr>
        <w:pStyle w:val="ImageCaption"/>
      </w:pPr>
      <w:r>
        <w:t xml:space="preserve">Finite-force speed and assumed bank energy histories.</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clear the original cassette/track overlap and scripted 3U envelope transfer paths against selected fixed parts. An expanded exact-solid pair census retains five other intersecting pairs, including sled/track and sled/stator conflicts. It lacks a complete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44">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46" name="Picture"/>
            <a:graphic>
              <a:graphicData uri="http://schemas.openxmlformats.org/drawingml/2006/picture">
                <pic:pic>
                  <pic:nvPicPr>
                    <pic:cNvPr descr="../../figures/gen5_feeder_candidate_r1.png" id="47" name="Picture"/>
                    <pic:cNvPicPr>
                      <a:picLocks noChangeArrowheads="1" noChangeAspect="1"/>
                    </pic:cNvPicPr>
                  </pic:nvPicPr>
                  <pic:blipFill>
                    <a:blip r:embed="rId45"/>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8">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50" name="Picture"/>
            <a:graphic>
              <a:graphicData uri="http://schemas.openxmlformats.org/drawingml/2006/picture">
                <pic:pic>
                  <pic:nvPicPr>
                    <pic:cNvPr descr="../../figures/matched_mission_reference.png" id="51" name="Picture"/>
                    <pic:cNvPicPr>
                      <a:picLocks noChangeArrowheads="1" noChangeAspect="1"/>
                    </pic:cNvPicPr>
                  </pic:nvPicPr>
                  <pic:blipFill>
                    <a:blip r:embed="rId49"/>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Start w:id="57" w:name="X28e973c78545135c2e1eda9072c4a24fabe8585"/>
    <w:p>
      <w:pPr>
        <w:pStyle w:val="Heading2"/>
      </w:pPr>
      <w:r>
        <w:t xml:space="preserve">New installed-burden and precision-delivery screens</w:t>
      </w:r>
    </w:p>
    <w:p>
      <w:pPr>
        <w:pStyle w:val="FirstParagraph"/>
      </w:pPr>
      <w:hyperlink r:id="rId52">
        <w:r>
          <w:rPr>
            <w:rStyle w:val="Hyperlink"/>
          </w:rPr>
          <w:t xml:space="preserve">P123</w:t>
        </w:r>
      </w:hyperlink>
      <w:r>
        <w:t xml:space="preserve"> </w:t>
      </w:r>
      <w:r>
        <w:t xml:space="preserve">resizes initial fuel to one ideal release plus an equal 2 kg reserve: despite saving 1.866 kg of host propellant in the fixed-fuel event, Gen5’s device plus resized fuel is</w:t>
      </w:r>
      <w:r>
        <w:t xml:space="preserve"> </w:t>
      </w:r>
      <w:r>
        <w:rPr>
          <w:b/>
          <w:bCs/>
        </w:rPr>
        <w:t xml:space="preserve">52.717 kg heavier</w:t>
      </w:r>
      <w:r>
        <w:t xml:space="preserve"> </w:t>
      </w:r>
      <w:r>
        <w:t xml:space="preserve">than the spring reference. The mass penalty does not by itself price a tailored delivery service, but it sets a serious burden for a buyer-backed mission to justify.</w:t>
      </w:r>
    </w:p>
    <w:p>
      <w:pPr>
        <w:pStyle w:val="BodyText"/>
      </w:pPr>
      <w:hyperlink r:id="rId53">
        <w:r>
          <w:rPr>
            <w:rStyle w:val="Hyperlink"/>
          </w:rPr>
          <w:t xml:space="preserve">P124</w:t>
        </w:r>
      </w:hyperlink>
      <w:r>
        <w:t xml:space="preserve"> </w:t>
      </w:r>
      <w:r>
        <w:t xml:space="preserve">converts an explicitly assumed 450 km orbit target into ideal tangential increment and load requirements. A 20 km immediate axis rise takes about 11.149 m/s; a ±0.1 km axis tolerance leaves about 0.0555 m/s for the entire tangential-error allocation on its smaller side. A real delivery accuracy budget must include host state, vector, timing, propagation and tracking. At 1 km/s over Gen5’s 1.3 m stroke, an ordinary 4 kg 3U would face about</w:t>
      </w:r>
      <w:r>
        <w:t xml:space="preserve"> </w:t>
      </w:r>
      <w:r>
        <w:rPr>
          <w:b/>
          <w:bCs/>
        </w:rPr>
        <w:t xml:space="preserve">39,220 g</w:t>
      </w:r>
      <w:r>
        <w:t xml:space="preserve"> </w:t>
      </w:r>
      <w:r>
        <w:t xml:space="preserve">ideal mean acceleration and 2 MJ payload kinetic energy. The first Gen6 prototype should be scoped from a named payload and mission, with the 1 km/s objective held as separate research. None of these calculations measures VOLLEY precision.</w:t>
      </w:r>
    </w:p>
    <w:p>
      <w:pPr>
        <w:pStyle w:val="CaptionedFigure"/>
      </w:pPr>
      <w:r>
        <w:drawing>
          <wp:inline>
            <wp:extent cx="4800600" cy="2880360"/>
            <wp:effectExtent b="0" l="0" r="0" t="0"/>
            <wp:docPr descr="Ideal stroke/load requirements, not a measured VOLLEY command envelope." title="" id="55" name="Picture"/>
            <a:graphic>
              <a:graphicData uri="http://schemas.openxmlformats.org/drawingml/2006/picture">
                <pic:pic>
                  <pic:nvPicPr>
                    <pic:cNvPr descr="../../figures/precision_delivery_design_space.png" id="56" name="Picture"/>
                    <pic:cNvPicPr>
                      <a:picLocks noChangeArrowheads="1" noChangeAspect="1"/>
                    </pic:cNvPicPr>
                  </pic:nvPicPr>
                  <pic:blipFill>
                    <a:blip r:embed="rId54"/>
                    <a:stretch>
                      <a:fillRect/>
                    </a:stretch>
                  </pic:blipFill>
                  <pic:spPr bwMode="auto">
                    <a:xfrm>
                      <a:off x="0" y="0"/>
                      <a:ext cx="4800600" cy="2880360"/>
                    </a:xfrm>
                    <a:prstGeom prst="rect">
                      <a:avLst/>
                    </a:prstGeom>
                    <a:noFill/>
                    <a:ln w="9525">
                      <a:noFill/>
                      <a:headEnd/>
                      <a:tailEnd/>
                    </a:ln>
                  </pic:spPr>
                </pic:pic>
              </a:graphicData>
            </a:graphic>
          </wp:inline>
        </w:drawing>
      </w:r>
    </w:p>
    <w:p>
      <w:pPr>
        <w:pStyle w:val="ImageCaption"/>
      </w:pPr>
      <w:r>
        <w:t xml:space="preserve">Ideal stroke/load requirements, not a measured VOLLEY command envelope.</w:t>
      </w:r>
    </w:p>
    <w:bookmarkEnd w:id="57"/>
    <w:bookmarkEnd w:id="58"/>
    <w:bookmarkStart w:id="69" w:name="introduction"/>
    <w:p>
      <w:pPr>
        <w:pStyle w:val="Heading1"/>
      </w:pPr>
      <w:r>
        <w:t xml:space="preserve">1. Introduction</w:t>
      </w:r>
    </w:p>
    <w:bookmarkStart w:id="59"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59"/>
    <w:bookmarkStart w:id="68" w:name="buyer-and-spacecraft-fit"/>
    <w:p>
      <w:pPr>
        <w:pStyle w:val="Heading2"/>
      </w:pPr>
      <w:r>
        <w:t xml:space="preserve">Buyer and spacecraft fit</w:t>
      </w:r>
    </w:p>
    <w:p>
      <w:pPr>
        <w:pStyle w:val="FirstParagraph"/>
      </w:pPr>
      <w:r>
        <w:t xml:space="preserve">The</w:t>
      </w:r>
      <w:r>
        <w:t xml:space="preserve"> </w:t>
      </w:r>
      <w:hyperlink r:id="rId60">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61">
        <w:r>
          <w:rPr>
            <w:rStyle w:val="Hyperlink"/>
          </w:rPr>
          <w:t xml:space="preserve">Planet’s FY2026 filing</w:t>
        </w:r>
      </w:hyperlink>
      <w:r>
        <w:t xml:space="preserve"> </w:t>
      </w:r>
      <w:r>
        <w:t xml:space="preserve">and</w:t>
      </w:r>
      <w:r>
        <w:t xml:space="preserve"> </w:t>
      </w:r>
      <w:hyperlink r:id="rId62">
        <w:r>
          <w:rPr>
            <w:rStyle w:val="Hyperlink"/>
          </w:rPr>
          <w:t xml:space="preserve">Spire’s 2025 filing</w:t>
        </w:r>
      </w:hyperlink>
      <w:r>
        <w:t xml:space="preserve"> </w:t>
      </w:r>
      <w:r>
        <w:t xml:space="preserve">show repeatable, configurable smallsat production.</w:t>
      </w:r>
      <w:r>
        <w:t xml:space="preserve"> </w:t>
      </w:r>
      <w:hyperlink r:id="rId63">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64">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66" name="Picture"/>
            <a:graphic>
              <a:graphicData uri="http://schemas.openxmlformats.org/drawingml/2006/picture">
                <pic:pic>
                  <pic:nvPicPr>
                    <pic:cNvPr descr="../../source/figures/D02_layout.png" id="67" name="Picture"/>
                    <pic:cNvPicPr>
                      <a:picLocks noChangeArrowheads="1" noChangeAspect="1"/>
                    </pic:cNvPicPr>
                  </pic:nvPicPr>
                  <pic:blipFill>
                    <a:blip r:embed="rId65"/>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68"/>
    <w:bookmarkEnd w:id="69"/>
    <w:bookmarkStart w:id="70"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70"/>
    <w:bookmarkStart w:id="71"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71"/>
    <w:bookmarkStart w:id="72"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72"/>
    <w:bookmarkStart w:id="80"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74" name="Picture"/>
            <a:graphic>
              <a:graphicData uri="http://schemas.openxmlformats.org/drawingml/2006/picture">
                <pic:pic>
                  <pic:nvPicPr>
                    <pic:cNvPr descr="../../source/figures/F01_shot.png" id="75" name="Picture"/>
                    <pic:cNvPicPr>
                      <a:picLocks noChangeArrowheads="1" noChangeAspect="1"/>
                    </pic:cNvPicPr>
                  </pic:nvPicPr>
                  <pic:blipFill>
                    <a:blip r:embed="rId73"/>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79"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77" name="Picture"/>
            <a:graphic>
              <a:graphicData uri="http://schemas.openxmlformats.org/drawingml/2006/picture">
                <pic:pic>
                  <pic:nvPicPr>
                    <pic:cNvPr descr="../../source/figures/A02_field_map.png" id="78" name="Picture"/>
                    <pic:cNvPicPr>
                      <a:picLocks noChangeArrowheads="1" noChangeAspect="1"/>
                    </pic:cNvPicPr>
                  </pic:nvPicPr>
                  <pic:blipFill>
                    <a:blip r:embed="rId76"/>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79"/>
    <w:bookmarkEnd w:id="80"/>
    <w:bookmarkStart w:id="82" w:name="timeline"/>
    <w:p>
      <w:pPr>
        <w:pStyle w:val="Heading1"/>
      </w:pPr>
      <w:r>
        <w:t xml:space="preserve">6. Timeline</w:t>
      </w:r>
    </w:p>
    <w:bookmarkStart w:id="81"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81"/>
    <w:bookmarkEnd w:id="82"/>
    <w:bookmarkStart w:id="83"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83"/>
    <w:bookmarkStart w:id="109" w:name="results"/>
    <w:p>
      <w:pPr>
        <w:pStyle w:val="Heading1"/>
      </w:pPr>
      <w:r>
        <w:t xml:space="preserve">8. Results</w:t>
      </w:r>
    </w:p>
    <w:bookmarkStart w:id="84"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84"/>
    <w:bookmarkStart w:id="86"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85">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86"/>
    <w:bookmarkStart w:id="90"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8" name="Picture"/>
            <a:graphic>
              <a:graphicData uri="http://schemas.openxmlformats.org/drawingml/2006/picture">
                <pic:pic>
                  <pic:nvPicPr>
                    <pic:cNvPr descr="../../source/figures/F03_mc.png" id="89" name="Picture"/>
                    <pic:cNvPicPr>
                      <a:picLocks noChangeArrowheads="1" noChangeAspect="1"/>
                    </pic:cNvPicPr>
                  </pic:nvPicPr>
                  <pic:blipFill>
                    <a:blip r:embed="rId87"/>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90"/>
    <w:bookmarkStart w:id="97"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92" name="Picture"/>
            <a:graphic>
              <a:graphicData uri="http://schemas.openxmlformats.org/drawingml/2006/picture">
                <pic:pic>
                  <pic:nvPicPr>
                    <pic:cNvPr descr="../../figures/rated_orbit_crosscheck.png" id="93" name="Picture"/>
                    <pic:cNvPicPr>
                      <a:picLocks noChangeArrowheads="1" noChangeAspect="1"/>
                    </pic:cNvPicPr>
                  </pic:nvPicPr>
                  <pic:blipFill>
                    <a:blip r:embed="rId91"/>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95" name="Picture"/>
            <a:graphic>
              <a:graphicData uri="http://schemas.openxmlformats.org/drawingml/2006/picture">
                <pic:pic>
                  <pic:nvPicPr>
                    <pic:cNvPr descr="../../source/figures/F04_life.png" id="96" name="Picture"/>
                    <pic:cNvPicPr>
                      <a:picLocks noChangeArrowheads="1" noChangeAspect="1"/>
                    </pic:cNvPicPr>
                  </pic:nvPicPr>
                  <pic:blipFill>
                    <a:blip r:embed="rId94"/>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97"/>
    <w:bookmarkStart w:id="101"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99" name="Picture"/>
            <a:graphic>
              <a:graphicData uri="http://schemas.openxmlformats.org/drawingml/2006/picture">
                <pic:pic>
                  <pic:nvPicPr>
                    <pic:cNvPr descr="../../source/figures/A35_ledger.png" id="100" name="Picture"/>
                    <pic:cNvPicPr>
                      <a:picLocks noChangeArrowheads="1" noChangeAspect="1"/>
                    </pic:cNvPicPr>
                  </pic:nvPicPr>
                  <pic:blipFill>
                    <a:blip r:embed="rId98"/>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101"/>
    <w:bookmarkStart w:id="107"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102">
        <w:r>
          <w:rPr>
            <w:rStyle w:val="Hyperlink"/>
          </w:rPr>
          <w:t xml:space="preserve">CAD review report</w:t>
        </w:r>
      </w:hyperlink>
      <w:r>
        <w:t xml:space="preserve"> </w:t>
      </w:r>
      <w:r>
        <w:t xml:space="preserve">identifies source revisions and checks, while</w:t>
      </w:r>
      <w:r>
        <w:t xml:space="preserve"> </w:t>
      </w:r>
      <w:hyperlink r:id="rId103">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cassette and track solids overlap by</w:t>
      </w:r>
      <w:r>
        <w:t xml:space="preserve"> </w:t>
      </w:r>
      <w:r>
        <w:rPr>
          <w:b/>
          <w:bCs/>
        </w:rPr>
        <w:t xml:space="preserve">32,915 mm³ per side</w:t>
      </w:r>
      <w:r>
        <w:t xml:space="preserve"> </w:t>
      </w:r>
      <w:r>
        <w:t xml:space="preserve">in this placement. An all-leaf census finds</w:t>
      </w:r>
      <w:r>
        <w:t xml:space="preserve"> </w:t>
      </w:r>
      <w:r>
        <w:rPr>
          <w:b/>
          <w:bCs/>
        </w:rPr>
        <w:t xml:space="preserve">17 intersecting pairs</w:t>
      </w:r>
      <w:r>
        <w:t xml:space="preserve">, including sled/track (</w:t>
      </w:r>
      <w:r>
        <w:rPr>
          <w:b/>
          <w:bCs/>
        </w:rPr>
        <w:t xml:space="preserve">82,983 mm³</w:t>
      </w:r>
      <w:r>
        <w:t xml:space="preserve">) and sled/stator (</w:t>
      </w:r>
      <w:r>
        <w:rPr>
          <w:b/>
          <w:bCs/>
        </w:rPr>
        <w:t xml:space="preserve">6,300 mm³</w:t>
      </w:r>
      <w:r>
        <w:t xml:space="preserve">) conflicts. This fails the reference assembly as drawn.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105" name="Picture"/>
            <a:graphic>
              <a:graphicData uri="http://schemas.openxmlformats.org/drawingml/2006/picture">
                <pic:pic>
                  <pic:nvPicPr>
                    <pic:cNvPr descr="../../figures/gen5_packaging_section.png" id="106" name="Picture"/>
                    <pic:cNvPicPr>
                      <a:picLocks noChangeArrowheads="1" noChangeAspect="1"/>
                    </pic:cNvPicPr>
                  </pic:nvPicPr>
                  <pic:blipFill>
                    <a:blip r:embed="rId104"/>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107"/>
    <w:bookmarkStart w:id="108" w:name="decision-and-evidence-boundary"/>
    <w:p>
      <w:pPr>
        <w:pStyle w:val="Heading2"/>
      </w:pPr>
      <w:r>
        <w:t xml:space="preserve">Decision and evidence boundary</w:t>
      </w:r>
    </w:p>
    <w:p>
      <w:pPr>
        <w:pStyle w:val="FirstParagraph"/>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108"/>
    <w:bookmarkEnd w:id="109"/>
    <w:bookmarkStart w:id="110"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110"/>
    <w:bookmarkStart w:id="116"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p>
      <w:pPr>
        <w:pStyle w:val="BodyText"/>
      </w:pPr>
      <w:r>
        <w:rPr>
          <w:b/>
          <w:bCs/>
        </w:rPr>
        <w:t xml:space="preserve">12 October post-review evidence update.</w:t>
      </w:r>
      <w:r>
        <w:t xml:space="preserve"> </w:t>
      </w:r>
      <w:hyperlink r:id="rId111">
        <w:r>
          <w:rPr>
            <w:rStyle w:val="Hyperlink"/>
          </w:rPr>
          <w:t xml:space="preserve">P130</w:t>
        </w:r>
      </w:hyperlink>
      <w:r>
        <w:t xml:space="preserve"> </w:t>
      </w:r>
      <w:r>
        <w:t xml:space="preserve">models two passive 1U and two passive 3U spacecraft in a 500 km sun-synchronous surrogate. Both commanded release and spring-plus-host controls reach the same ideal full-state targets 24 hours after the last release. With assumed installed devices of 30 and 16 kg, commanded release saves 3.2823 kg of ideal host fuel but loses by 10.7177 kg on device plus consumed fuel. A +0.1 m/s shot error changes one-day terminal position by roughly 25–27 km. These are not customer tolerances or measured precision.</w:t>
      </w:r>
      <w:r>
        <w:t xml:space="preserve"> </w:t>
      </w:r>
      <w:hyperlink r:id="rId112">
        <w:r>
          <w:rPr>
            <w:rStyle w:val="Hyperlink"/>
          </w:rPr>
          <w:t xml:space="preserve">P131</w:t>
        </w:r>
      </w:hyperlink>
      <w:r>
        <w:t xml:space="preserve"> </w:t>
      </w:r>
      <w:r>
        <w:t xml:space="preserve">and</w:t>
      </w:r>
      <w:r>
        <w:t xml:space="preserve"> </w:t>
      </w:r>
      <w:hyperlink r:id="rId113">
        <w:r>
          <w:rPr>
            <w:rStyle w:val="Hyperlink"/>
          </w:rPr>
          <w:t xml:space="preserve">P132</w:t>
        </w:r>
      </w:hyperlink>
      <w:r>
        <w:t xml:space="preserve"> </w:t>
      </w:r>
      <w:r>
        <w:t xml:space="preserve">add two partial FreeCAD/STEP 3U first-article envelopes and necessary mechanical/source bounds. Their approximately 9.93 kg partial material proxy leaves only about 9.35 kg under the narrow surrogate parity ceiling for all omitted installed hardware. At 6 m/s, roughly 82 J of moving kinetic energy and 818 J of bus energy at an</w:t>
      </w:r>
      <w:r>
        <w:t xml:space="preserve"> </w:t>
      </w:r>
      <w:r>
        <w:rPr>
          <w:i/>
          <w:iCs/>
        </w:rPr>
        <w:t xml:space="preserve">assumed</w:t>
      </w:r>
      <w:r>
        <w:t xml:space="preserve"> </w:t>
      </w:r>
      <w:r>
        <w:t xml:space="preserve">10% efficiency are lower-bound screens; neither motor nor source is selected. G0/G1 remain open, and 1 km/s remains a separate long-range research question.</w:t>
      </w:r>
    </w:p>
    <w:p>
      <w:pPr>
        <w:pStyle w:val="BodyText"/>
      </w:pPr>
      <w:r>
        <w:t xml:space="preserve">A later</w:t>
      </w:r>
      <w:r>
        <w:t xml:space="preserve"> </w:t>
      </w:r>
      <w:hyperlink r:id="rId114">
        <w:r>
          <w:rPr>
            <w:rStyle w:val="Hyperlink"/>
          </w:rPr>
          <w:t xml:space="preserve">four-cell FreeCAD/STEP packaging study</w:t>
        </w:r>
      </w:hyperlink>
      <w:r>
        <w:t xml:space="preserve"> </w:t>
      </w:r>
      <w:r>
        <w:t xml:space="preserve">compares two 1U and two 3U surrogate boxes in staggered and paired side cassettes. Both have 13 nominal represented-solid states and sampled transfer and stowed-carrier paths without penetration. Pairing moves the shortest ideal acceleration distance from 330 mm to 900 mm; at 6 m/s this lowers the corresponding ideal mean acceleration from 5.56 g to 2.04 g. Neither is an achievable-speed rating or a selected feed mechanism. Positive locks, contact loads, positioning, tolerances, installed mass and host fit remain open. This finding appears only in the 12 October post-review revision, not in the original 10 October presentation. See the</w:t>
      </w:r>
      <w:r>
        <w:t xml:space="preserve"> </w:t>
      </w:r>
      <w:hyperlink r:id="rId115">
        <w:r>
          <w:rPr>
            <w:rStyle w:val="Hyperlink"/>
          </w:rPr>
          <w:t xml:space="preserve">Go 3 gate review</w:t>
        </w:r>
      </w:hyperlink>
      <w:r>
        <w:t xml:space="preserve">.</w:t>
      </w:r>
    </w:p>
    <w:bookmarkEnd w:id="116"/>
    <w:bookmarkStart w:id="117"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104" Target="media/rId10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91" Target="media/rId91.png" /><Relationship Type="http://schemas.openxmlformats.org/officeDocument/2006/relationships/image" Id="rId76" Target="media/rId76.png" /><Relationship Type="http://schemas.openxmlformats.org/officeDocument/2006/relationships/image" Id="rId98" Target="media/rId98.png" /><Relationship Type="http://schemas.openxmlformats.org/officeDocument/2006/relationships/image" Id="rId65" Target="media/rId65.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94" Target="media/rId94.png" /><Relationship Type="http://schemas.openxmlformats.org/officeDocument/2006/relationships/hyperlink" Id="rId115" Target="../../GO3_ACADEMIC_RELEASE_REVIEW.md" TargetMode="External" /><Relationship Type="http://schemas.openxmlformats.org/officeDocument/2006/relationships/hyperlink" Id="rId60" Target="../../MARKET_AND_CUSTOMER_FIT.md" TargetMode="External" /><Relationship Type="http://schemas.openxmlformats.org/officeDocument/2006/relationships/hyperlink" Id="rId44" Target="../../cad/FEEDER_CANDIDATE_R1.md" TargetMode="External" /><Relationship Type="http://schemas.openxmlformats.org/officeDocument/2006/relationships/hyperlink" Id="rId39" Target="../../cad/FEEDER_R1_TOLERANCE_SCREEN.md" TargetMode="External" /><Relationship Type="http://schemas.openxmlformats.org/officeDocument/2006/relationships/hyperlink" Id="rId102" Target="../../cad/GEN5_CAD_REVIEW.pdf" TargetMode="External" /><Relationship Type="http://schemas.openxmlformats.org/officeDocument/2006/relationships/hyperlink" Id="rId114" Target="../../cad/gen6_four_cell_r0/README.md" TargetMode="External" /><Relationship Type="http://schemas.openxmlformats.org/officeDocument/2006/relationships/hyperlink" Id="rId48" Target="../../docs/MATCHED_MISSION_REFERENCE.md" TargetMode="External" /><Relationship Type="http://schemas.openxmlformats.org/officeDocument/2006/relationships/hyperlink" Id="rId103" Target="../../validation/P116_gen5_assembly_packaging.md" TargetMode="External" /><Relationship Type="http://schemas.openxmlformats.org/officeDocument/2006/relationships/hyperlink" Id="rId85"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2" Target="../../validation/P123_gen5_one_event_mass_screen.md" TargetMode="External" /><Relationship Type="http://schemas.openxmlformats.org/officeDocument/2006/relationships/hyperlink" Id="rId53" Target="../../validation/P124_precision_delivery_design_space.md" TargetMode="External" /><Relationship Type="http://schemas.openxmlformats.org/officeDocument/2006/relationships/hyperlink" Id="rId38" Target="../../validation/P125_gen5_voltage_limited_screen.md" TargetMode="External" /><Relationship Type="http://schemas.openxmlformats.org/officeDocument/2006/relationships/hyperlink" Id="rId40" Target="../../validation/P127_gen5_release_arrest_bounds.md" TargetMode="External" /><Relationship Type="http://schemas.openxmlformats.org/officeDocument/2006/relationships/hyperlink" Id="rId111" Target="../../validation/P130_gen6_matched_campaign.md" TargetMode="External" /><Relationship Type="http://schemas.openxmlformats.org/officeDocument/2006/relationships/hyperlink" Id="rId112" Target="../../validation/P131_gen6_go2_article_bounds.md" TargetMode="External" /><Relationship Type="http://schemas.openxmlformats.org/officeDocument/2006/relationships/hyperlink" Id="rId113" Target="../../validation/P132_gen6_go2_power_instrument_screen.md" TargetMode="External" /><Relationship Type="http://schemas.openxmlformats.org/officeDocument/2006/relationships/hyperlink" Id="rId64" Target="https://new.spacex.com/rideshare" TargetMode="External" /><Relationship Type="http://schemas.openxmlformats.org/officeDocument/2006/relationships/hyperlink" Id="rId63" Target="https://www.nasa.gov/smallsat-institute/sst-soa/integration-launch-and-deployment/" TargetMode="External" /><Relationship Type="http://schemas.openxmlformats.org/officeDocument/2006/relationships/hyperlink" Id="rId62" Target="https://www.sec.gov/Archives/edgar/data/1816017/000119312526116169/spir-20251231.htm" TargetMode="External" /><Relationship Type="http://schemas.openxmlformats.org/officeDocument/2006/relationships/hyperlink" Id="rId61"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115" Target="../../GO3_ACADEMIC_RELEASE_REVIEW.md" TargetMode="External" /><Relationship Type="http://schemas.openxmlformats.org/officeDocument/2006/relationships/hyperlink" Id="rId60" Target="../../MARKET_AND_CUSTOMER_FIT.md" TargetMode="External" /><Relationship Type="http://schemas.openxmlformats.org/officeDocument/2006/relationships/hyperlink" Id="rId44" Target="../../cad/FEEDER_CANDIDATE_R1.md" TargetMode="External" /><Relationship Type="http://schemas.openxmlformats.org/officeDocument/2006/relationships/hyperlink" Id="rId39" Target="../../cad/FEEDER_R1_TOLERANCE_SCREEN.md" TargetMode="External" /><Relationship Type="http://schemas.openxmlformats.org/officeDocument/2006/relationships/hyperlink" Id="rId102" Target="../../cad/GEN5_CAD_REVIEW.pdf" TargetMode="External" /><Relationship Type="http://schemas.openxmlformats.org/officeDocument/2006/relationships/hyperlink" Id="rId114" Target="../../cad/gen6_four_cell_r0/README.md" TargetMode="External" /><Relationship Type="http://schemas.openxmlformats.org/officeDocument/2006/relationships/hyperlink" Id="rId48" Target="../../docs/MATCHED_MISSION_REFERENCE.md" TargetMode="External" /><Relationship Type="http://schemas.openxmlformats.org/officeDocument/2006/relationships/hyperlink" Id="rId103" Target="../../validation/P116_gen5_assembly_packaging.md" TargetMode="External" /><Relationship Type="http://schemas.openxmlformats.org/officeDocument/2006/relationships/hyperlink" Id="rId85"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28" Target="../../validation/P119_gen5_finite_force_fem2d.md" TargetMode="External" /><Relationship Type="http://schemas.openxmlformats.org/officeDocument/2006/relationships/hyperlink" Id="rId37" Target="../../validation/P120_gen5_finite_coupled_shot.md" TargetMode="External" /><Relationship Type="http://schemas.openxmlformats.org/officeDocument/2006/relationships/hyperlink" Id="rId32" Target="../../validation/P121_gen5_finite_force_surface3d.md" TargetMode="External" /><Relationship Type="http://schemas.openxmlformats.org/officeDocument/2006/relationships/hyperlink" Id="rId33" Target="../../validation/P122_gen5_finite_force_sensitivity.md" TargetMode="External" /><Relationship Type="http://schemas.openxmlformats.org/officeDocument/2006/relationships/hyperlink" Id="rId52" Target="../../validation/P123_gen5_one_event_mass_screen.md" TargetMode="External" /><Relationship Type="http://schemas.openxmlformats.org/officeDocument/2006/relationships/hyperlink" Id="rId53" Target="../../validation/P124_precision_delivery_design_space.md" TargetMode="External" /><Relationship Type="http://schemas.openxmlformats.org/officeDocument/2006/relationships/hyperlink" Id="rId38" Target="../../validation/P125_gen5_voltage_limited_screen.md" TargetMode="External" /><Relationship Type="http://schemas.openxmlformats.org/officeDocument/2006/relationships/hyperlink" Id="rId40" Target="../../validation/P127_gen5_release_arrest_bounds.md" TargetMode="External" /><Relationship Type="http://schemas.openxmlformats.org/officeDocument/2006/relationships/hyperlink" Id="rId111" Target="../../validation/P130_gen6_matched_campaign.md" TargetMode="External" /><Relationship Type="http://schemas.openxmlformats.org/officeDocument/2006/relationships/hyperlink" Id="rId112" Target="../../validation/P131_gen6_go2_article_bounds.md" TargetMode="External" /><Relationship Type="http://schemas.openxmlformats.org/officeDocument/2006/relationships/hyperlink" Id="rId113" Target="../../validation/P132_gen6_go2_power_instrument_screen.md" TargetMode="External" /><Relationship Type="http://schemas.openxmlformats.org/officeDocument/2006/relationships/hyperlink" Id="rId64" Target="https://new.spacex.com/rideshare" TargetMode="External" /><Relationship Type="http://schemas.openxmlformats.org/officeDocument/2006/relationships/hyperlink" Id="rId63" Target="https://www.nasa.gov/smallsat-institute/sst-soa/integration-launch-and-deployment/" TargetMode="External" /><Relationship Type="http://schemas.openxmlformats.org/officeDocument/2006/relationships/hyperlink" Id="rId62" Target="https://www.sec.gov/Archives/edgar/data/1816017/000119312526116169/spir-20251231.htm" TargetMode="External" /><Relationship Type="http://schemas.openxmlformats.org/officeDocument/2006/relationships/hyperlink" Id="rId61"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2026-10-12T18:01:45Z</dcterms:created>
  <dcterms:modified xsi:type="dcterms:W3CDTF">2026-10-12T18:01:45Z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12 October 2026 (post-review update)</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