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the Gen5 system design and computational evaluation. At the rated 3U point it predicts a 16.0 m/s release and an orbit benefit, but complete mass accounting fails the preset comparison with spring canisters. We will show the method, the numerical checks, and the decision that follows.</w:t>
      </w:r>
      <w:r>
        <w:t xml:space="preserve">”</w:t>
      </w:r>
    </w:p>
    <w:p>
      <w:pPr>
        <w:pStyle w:val="BodyText"/>
      </w:pPr>
      <w:r>
        <w:rPr>
          <w:b/>
          <w:bCs/>
        </w:rPr>
        <w:t xml:space="preserve">Close (about 25 seconds):</w:t>
      </w:r>
      <w:r>
        <w:t xml:space="preserve"> </w:t>
      </w:r>
      <w:r>
        <w:t xml:space="preserve">“</w:t>
      </w:r>
      <w:r>
        <w:t xml:space="preserve">The research question now has an evidence-based answer.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9–13, 15–16, 18–20</w:t>
      </w:r>
      <w:r>
        <w:t xml:space="preserve">, keeping the literature and model tables brief. Lead with the thesis answer and close on the engineering decision. Keep the mass failure and evidence boundary. Slides 22–23 are references for questions. The full route follows all 23 slides in order.</w:t>
      </w:r>
    </w:p>
    <w:bookmarkEnd w:id="21"/>
    <w:bookmarkEnd w:id="22"/>
    <w:bookmarkStart w:id="45"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is driven along the 1.5 m track; the payload departs; the sled is arrested. The model adopts a 9.45 kg sled from historical Gen3 CAD solid volumes and A4 chassis analysis; the current Gen5 STEP set is a geometry package, not an independently mass-verified assembly. The large sled makes recovery, braking, power and mass central rather than ancillary details. No component in this image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6"/>
    <w:bookmarkStart w:id="37" w:name="results-orbit"/>
    <w:p>
      <w:pPr>
        <w:pStyle w:val="Heading2"/>
      </w:pPr>
      <w:r>
        <w:t xml:space="preserve">15. Results — orbit</w:t>
      </w:r>
    </w:p>
    <w:p>
      <w:pPr>
        <w:pStyle w:val="FirstParagraph"/>
      </w:pPr>
      <w:r>
        <w:t xml:space="preserve">The model predicts a 28.8 km semi-major-axis rise and a 1.60× lifetime multiplier at mean solar activity for one maximum-velocity release. The exact multiplier is not universal. A prior invariance claim failed an independent propagator check, and the current 1.60 result has not been independently rerun at its precise updated operating point. A relative state produced by spring impulse, drag or a host maneuver can phase satellites; the larger energy change is the reason to consider a commanded release impulse.</w:t>
      </w:r>
    </w:p>
    <w:bookmarkEnd w:id="37"/>
    <w:bookmarkStart w:id="38"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8"/>
    <w:bookmarkStart w:id="39" w:name="results-limits"/>
    <w:p>
      <w:pPr>
        <w:pStyle w:val="Heading2"/>
      </w:pPr>
      <w:r>
        <w:t xml:space="preserve">17. Results — limits</w:t>
      </w:r>
    </w:p>
    <w:p>
      <w:pPr>
        <w:pStyle w:val="FirstParagraph"/>
      </w:pPr>
      <w:r>
        <w:t xml:space="preserve">Give the three-part decision in order: (1) the system model supports a commandable release with conditional orbital-energy benefit, (2) the full 3U mass result fails the selection criterion, and (3) physical behavior remains unverified. Payload interface, shared reliability and host compatibility are future tests, not missing steps in the completed mass comparison. A numerical result at a declared boundary is narrower than physical evidence.</w:t>
      </w:r>
    </w:p>
    <w:bookmarkEnd w:id="39"/>
    <w:bookmarkStart w:id="40"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feed its release state into the orbit model; compare predicted orbital change and installed mass with the spring benchmark. The panel can inspect the scripts and records in the project archive. If the computer cannot run a script during the review, the slide and handbook reproduce the same model chain. Call this a</w:t>
      </w:r>
      <w:r>
        <w:t xml:space="preserve"> </w:t>
      </w:r>
      <w:r>
        <w:rPr>
          <w:b/>
          <w:bCs/>
        </w:rPr>
        <w:t xml:space="preserve">computational demonstration</w:t>
      </w:r>
      <w:r>
        <w:t xml:space="preserve">.</w:t>
      </w:r>
    </w:p>
    <w:bookmarkEnd w:id="40"/>
    <w:bookmarkStart w:id="41" w:name="conclusion"/>
    <w:p>
      <w:pPr>
        <w:pStyle w:val="Heading2"/>
      </w:pPr>
      <w:r>
        <w:t xml:space="preserve">19. Conclusion</w:t>
      </w:r>
    </w:p>
    <w:p>
      <w:pPr>
        <w:pStyle w:val="FirstParagraph"/>
      </w:pPr>
      <w:r>
        <w:t xml:space="preserve">“</w:t>
      </w:r>
      <w:r>
        <w:t xml:space="preserve">We completed the Gen5 system-level computational evaluation. It predicts a useful orbital-energy change, but the complete configuration fails our preset 3U mass criterion. Numerical checks made that conclusion more credible and defined its limits. Gen5 is therefore a finished research result, not a selected 3U flight configuration.</w:t>
      </w:r>
      <w:r>
        <w:t xml:space="preserve">”</w:t>
      </w:r>
      <w:r>
        <w:t xml:space="preserve"> </w:t>
      </w:r>
      <w:r>
        <w:t xml:space="preserve">End on this decision. Future work follows as a separate section.</w:t>
      </w:r>
    </w:p>
    <w:bookmarkEnd w:id="41"/>
    <w:bookmarkStart w:id="42"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2"/>
    <w:bookmarkStart w:id="43"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3"/>
    <w:bookmarkStart w:id="44"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4"/>
    <w:bookmarkEnd w:id="45"/>
    <w:bookmarkStart w:id="46"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6"/>
    <w:bookmarkStart w:id="47"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7"/>
    <w:bookmarkStart w:id="48"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8"/>
    <w:bookmarkStart w:id="49"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9"/>
    <w:bookmarkStart w:id="50"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2026-10-09T07:39:45Z</dcterms:created>
  <dcterms:modified xsi:type="dcterms:W3CDTF">2026-10-09T07:39:45Z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