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a Gen5 computational evaluation. The historical model predicts 16.0 m/s, while a finite geometry force screen challenges that performance claim. The mass comparison fails, the matched twelve-shot screen closes no case, and a native CAD review identifies an 11 mm packaging shortfall in our side-fed reference layout. We will show those checks and the engineering decision.</w:t>
      </w:r>
      <w:r>
        <w:t xml:space="preserve">”</w:t>
      </w:r>
    </w:p>
    <w:p>
      <w:pPr>
        <w:pStyle w:val="BodyText"/>
      </w:pPr>
      <w:r>
        <w:rPr>
          <w:b/>
          <w:bCs/>
        </w:rPr>
        <w:t xml:space="preserve">Close (about 25 seconds):</w:t>
      </w:r>
      <w:r>
        <w:t xml:space="preserve"> </w:t>
      </w:r>
      <w:r>
        <w:t xml:space="preserve">“</w:t>
      </w:r>
      <w:r>
        <w:t xml:space="preserve">The research question now has documented negative findings and an unresolved force-model discrepancy.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9–14, 17–18, 19, 21–23</w:t>
      </w:r>
      <w:r>
        <w:t xml:space="preserve">, keeping the literature and model tables brief. Lead with the thesis answer and close on the engineering decision. Keep the mass failure and evidence boundary. Slides 25–26 are references for questions. The full route follows all 26 slides in order.</w:t>
      </w:r>
    </w:p>
    <w:bookmarkEnd w:id="21"/>
    <w:bookmarkEnd w:id="22"/>
    <w:bookmarkStart w:id="48"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show the CAD render on slide 12 as a model,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NASA documents the rideshare destination constraint; Planet and Spire show repeatable smallsat platforms. Those are market context, not VOLLEY customers. A carrier, rideshare integrator or fleet operator is only a candidate buyer for several useful release states from one host. Compare actual spring impulse, host manoeuvres, transport and onboard propulsion on the same mission. Waiting alone between zero-relative-impulse releases from an unchanged host creates no persistent phase separation. Say the finding early: modeled Gen5 orbital benefit is conditional, while its 3U mass comparison fails. There is no confirmed buyer or approved host. The local MARKET_AND_CUSTOMER_FIT.md audits the source reports and spacecraft classes.</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rated velocity; a real enclosure buildup exposed the mass failure; and an independent propagator check rejected an overbroad solar-activity claim. State that the reported numbers are the corrected baseline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chain in the CAD render: cassettes feed a 3U satellite; the reusable magnet sled moves to a release station 1.5 m from the breech along 1.8 m structural longerons; the payload departs; the sled is arrested. Eight STEP solids were imported into FreeCAD 1.0 and exported as a native 20-instance review assembly and STEP exchange files. The imported solids lack parametric feature history. This is an inspectable geometry study, not an independently mass-verified installed assembly. The mass model still adopts a 9.45 kg sled from historical Gen3 CAD and A4 chassis analysis. No component has been built for VOLLEY.</w:t>
      </w:r>
    </w:p>
    <w:bookmarkEnd w:id="34"/>
    <w:bookmarkStart w:id="35" w:name="results-rated-shot"/>
    <w:p>
      <w:pPr>
        <w:pStyle w:val="Heading2"/>
      </w:pPr>
      <w:r>
        <w:t xml:space="preserve">13. Results — rated shot</w:t>
      </w:r>
    </w:p>
    <w:p>
      <w:pPr>
        <w:pStyle w:val="FirstParagraph"/>
      </w:pPr>
      <w:r>
        <w:t xml:space="preserve">At the rated 3U operating point, the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P117 independently checks simple mass, work and kinetic-energy identities but leaves</w:t>
      </w:r>
      <w:r>
        <w:t xml:space="preserve"> </w:t>
      </w:r>
      <w:r>
        <w:rPr>
          <w:b/>
          <w:bCs/>
        </w:rPr>
        <w:t xml:space="preserve">124.488 J of gross draw unitemized</w:t>
      </w:r>
      <w:r>
        <w:t xml:space="preserve">. Do not call the energy loss budget closed, or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finite-force-discrepancy"/>
    <w:p>
      <w:pPr>
        <w:pStyle w:val="Heading2"/>
      </w:pPr>
      <w:r>
        <w:t xml:space="preserve">14. Results — finite force discrepancy</w:t>
      </w:r>
    </w:p>
    <w:p>
      <w:pPr>
        <w:pStyle w:val="FirstParagraph"/>
      </w:pPr>
      <w:r>
        <w:t xml:space="preserve">Explain that 16.029 m/s assumes periodic force through the whole 1.3 m. The CAD array loses direct stator overlap after 1.066 m. A 3-D analytic volume integral of the finite belts gives 1.042 kJ of ideal work and 12.448 m/s with phase optimized at every point; real circuit limits reduce this model result. This screen shares the earlier magnetic field law, so independent FEM force verification remains open. Do not call 12.448 m/s measured or an accepted replacement baseline.</w:t>
      </w:r>
    </w:p>
    <w:bookmarkEnd w:id="36"/>
    <w:bookmarkStart w:id="37" w:name="results-command-precision"/>
    <w:p>
      <w:pPr>
        <w:pStyle w:val="Heading2"/>
      </w:pPr>
      <w:r>
        <w:t xml:space="preserve">15.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7"/>
    <w:bookmarkStart w:id="38" w:name="results-orbit"/>
    <w:p>
      <w:pPr>
        <w:pStyle w:val="Heading2"/>
      </w:pPr>
      <w:r>
        <w:t xml:space="preserve">16. Results — orbit</w:t>
      </w:r>
    </w:p>
    <w:p>
      <w:pPr>
        <w:pStyle w:val="FirstParagraph"/>
      </w:pPr>
      <w:r>
        <w:t xml:space="preserve">At the rated 16.029 m/s release point, an independent Cartesian two-body integration reproduces the immediate 28.800775 km semi-major-axis rise within the declared numerical band. This checks orbital mechanics for that state, not atmospheric lifetime. The model’s 1.60× lifetime multiplier at mean solar activity remains unverified at this exact point; a prior invariance claim failed an independent propagator check. Spring impulse, differential drag or a host maneuver can create relative state and phase satellites; waiting alone cannot.</w:t>
      </w:r>
    </w:p>
    <w:bookmarkEnd w:id="38"/>
    <w:bookmarkStart w:id="39" w:name="results-mass"/>
    <w:p>
      <w:pPr>
        <w:pStyle w:val="Heading2"/>
      </w:pPr>
      <w:r>
        <w:t xml:space="preserve">17.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9"/>
    <w:bookmarkStart w:id="40" w:name="results-cad-packaging-check"/>
    <w:p>
      <w:pPr>
        <w:pStyle w:val="Heading2"/>
      </w:pPr>
      <w:r>
        <w:t xml:space="preserve">18. Results — CAD packaging check</w:t>
      </w:r>
    </w:p>
    <w:p>
      <w:pPr>
        <w:pStyle w:val="FirstParagraph"/>
      </w:pPr>
      <w:r>
        <w:t xml:space="preserve">Show the dimensioned section from the FreeCAD review assembly. Its 526 mm inner enclosure width cannot accommodate the 205 mm track and two 166 mm side cassettes: 537 mm total, an 11 mm shortfall before clearances. Both cassettes intersect the track by 32,915 mm³ in this exact placement. This fails the</w:t>
      </w:r>
      <w:r>
        <w:t xml:space="preserve"> </w:t>
      </w:r>
      <w:r>
        <w:rPr>
          <w:b/>
          <w:bCs/>
        </w:rPr>
        <w:t xml:space="preserve">side-fed reference layout</w:t>
      </w:r>
      <w:r>
        <w:t xml:space="preserve">; it does not rule out every layout or determine a manufacturable tolerance stack. It is a real negative CAD check, not a rendering defect. P116 records the geometry and reproduction steps.</w:t>
      </w:r>
    </w:p>
    <w:bookmarkEnd w:id="40"/>
    <w:bookmarkStart w:id="41" w:name="results-unselected-r1-feeder"/>
    <w:p>
      <w:pPr>
        <w:pStyle w:val="Heading2"/>
      </w:pPr>
      <w:r>
        <w:t xml:space="preserve">19. Results — unselected R1 feeder</w:t>
      </w:r>
    </w:p>
    <w:p>
      <w:pPr>
        <w:pStyle w:val="FirstParagraph"/>
      </w:pPr>
      <w:r>
        <w:t xml:space="preserve">The widened 570 mm enclosure clears twelve scripted 3U-envelope routes in exact-solid geometry. Show the native FreeCAD file and STEP set as review artifacts. The real lift/carriage and launch retention have not been designed, and R1 needs new mass, host and structural analyses. It is separate from the evaluated Gen5 configuration.</w:t>
      </w:r>
    </w:p>
    <w:bookmarkEnd w:id="41"/>
    <w:bookmarkStart w:id="42" w:name="results-simulation-demonstration"/>
    <w:p>
      <w:pPr>
        <w:pStyle w:val="Heading2"/>
      </w:pPr>
      <w:r>
        <w:t xml:space="preserve">20. Results — simulation demonstration</w:t>
      </w:r>
    </w:p>
    <w:p>
      <w:pPr>
        <w:pStyle w:val="FirstParagraph"/>
      </w:pPr>
      <w:r>
        <w:t xml:space="preserve">Walk through the revised evidence chain on the slide: the finite-position force curve challenges the historical constant-force shot, then the common-input mission screen compares the assumed finite-force ideal upper speed with springs and the historical model. The accepted twelve-shot prefixes are limited and no case closes. The panel can inspect P118, the matched-mission result JSON, scripts, FreeCAD documents and reports in this repository. If a script cannot run during review, the slide and handbook reproduce the captured outputs. Call this a</w:t>
      </w:r>
      <w:r>
        <w:t xml:space="preserve"> </w:t>
      </w:r>
      <w:r>
        <w:rPr>
          <w:b/>
          <w:bCs/>
        </w:rPr>
        <w:t xml:space="preserve">computational demonstration</w:t>
      </w:r>
      <w:r>
        <w:t xml:space="preserve">, never a motor test.</w:t>
      </w:r>
    </w:p>
    <w:bookmarkEnd w:id="42"/>
    <w:bookmarkStart w:id="43" w:name="results-matched-reference-mission"/>
    <w:p>
      <w:pPr>
        <w:pStyle w:val="Heading2"/>
      </w:pPr>
      <w:r>
        <w:t xml:space="preserve">21. Results — matched reference mission</w:t>
      </w:r>
    </w:p>
    <w:p>
      <w:pPr>
        <w:pStyle w:val="FirstParagraph"/>
      </w:pPr>
      <w:r>
        <w:t xml:space="preserve">The comparison fixes one payload, host, start orbit and target. With assumed device masses, spring release needs 2.693 kg ideal host propellant for one matched target; finite Gen5 needs 0.827 kg. The common-input twelve-shot optimizer finds accepted prefixes 4/12 and 1/12 respectively; neither closes. The optimizer result and component masses are scenario assumptions, not a customer benefit or a proof of impossibility.</w:t>
      </w:r>
    </w:p>
    <w:bookmarkEnd w:id="43"/>
    <w:bookmarkStart w:id="44" w:name="conclusion"/>
    <w:p>
      <w:pPr>
        <w:pStyle w:val="Heading2"/>
      </w:pPr>
      <w:r>
        <w:t xml:space="preserve">22. Conclusion</w:t>
      </w:r>
    </w:p>
    <w:p>
      <w:pPr>
        <w:pStyle w:val="FirstParagraph"/>
      </w:pPr>
      <w:r>
        <w:t xml:space="preserve">“</w:t>
      </w:r>
      <w:r>
        <w:t xml:space="preserve">We documented Gen5’s computational results and decisive checks. The finite-force screen challenges the historical speed prediction, the modeled configuration fails our 3U mass criterion, and the evaluated side-fed geometry clashes. None of the matched twelve-shot reference cases closes. Gen5 has recorded adverse results and open force closure, not a selected flight configuration.</w:t>
      </w:r>
      <w:r>
        <w:t xml:space="preserve">”</w:t>
      </w:r>
      <w:r>
        <w:t xml:space="preserve"> </w:t>
      </w:r>
      <w:r>
        <w:t xml:space="preserve">Future work follows separately.</w:t>
      </w:r>
    </w:p>
    <w:bookmarkEnd w:id="44"/>
    <w:bookmarkStart w:id="45" w:name="future-work-gen6"/>
    <w:p>
      <w:pPr>
        <w:pStyle w:val="Heading2"/>
      </w:pPr>
      <w:r>
        <w:t xml:space="preserve">23.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5"/>
    <w:bookmarkStart w:id="46" w:name="future-work-test-article"/>
    <w:p>
      <w:pPr>
        <w:pStyle w:val="Heading2"/>
      </w:pPr>
      <w:r>
        <w:t xml:space="preserve">24.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6"/>
    <w:bookmarkStart w:id="47" w:name="references"/>
    <w:p>
      <w:pPr>
        <w:pStyle w:val="Heading2"/>
      </w:pPr>
      <w:r>
        <w:t xml:space="preserve">25–26.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7"/>
    <w:bookmarkEnd w:id="48"/>
    <w:bookmarkStart w:id="49"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Historical periodic-force model prediction, challenged by finite geometry</w:t>
            </w:r>
            <w:r>
              <w:t xml:space="preserve">”</w:t>
            </w:r>
          </w:p>
        </w:tc>
      </w:tr>
      <w:tr>
        <w:tc>
          <w:tcPr/>
          <w:p>
            <w:pPr>
              <w:pStyle w:val="Compact"/>
              <w:jc w:val="left"/>
            </w:pPr>
            <w:r>
              <w:t xml:space="preserve">12.448 m/s</w:t>
            </w:r>
          </w:p>
        </w:tc>
        <w:tc>
          <w:tcPr/>
          <w:p>
            <w:pPr>
              <w:pStyle w:val="Compact"/>
              <w:jc w:val="left"/>
            </w:pPr>
            <w:r>
              <w:t xml:space="preserve">“</w:t>
            </w:r>
            <w:r>
              <w:t xml:space="preserve">Finite analytic geometry-only speed under ideal phase and omitted circuit losses</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9"/>
    <w:bookmarkStart w:id="50"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50"/>
    <w:bookmarkStart w:id="51"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51"/>
    <w:bookmarkStart w:id="52"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Gen5 model predicts 16 m/s; selected numerical checks exist.</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52"/>
    <w:bookmarkStart w:id="53"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2026-10-09T11:02:40Z</dcterms:created>
  <dcterms:modified xsi:type="dcterms:W3CDTF">2026-10-09T11:02:40Z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