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53.png" ContentType="image/png"/>
  <Override PartName="/word/media/rId24.png" ContentType="image/png"/>
  <Override PartName="/word/media/rId32.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concept,</w:t>
      </w:r>
      <w:r>
        <w:t xml:space="preserve"> </w:t>
      </w:r>
      <w:r>
        <w:t xml:space="preserve">method,</w:t>
      </w:r>
      <w:r>
        <w:t xml:space="preserve"> </w:t>
      </w:r>
      <w:r>
        <w:t xml:space="preserve">results,</w:t>
      </w:r>
      <w:r>
        <w:t xml:space="preserve"> </w:t>
      </w:r>
      <w:r>
        <w:t xml:space="preserve">limits,</w:t>
      </w:r>
      <w:r>
        <w:t xml:space="preserve"> </w:t>
      </w:r>
      <w:r>
        <w:t xml:space="preserve">and</w:t>
      </w:r>
      <w:r>
        <w:t xml:space="preserve"> </w:t>
      </w:r>
      <w:r>
        <w:t xml:space="preserve">next</w:t>
      </w:r>
      <w:r>
        <w:t xml:space="preserve"> </w:t>
      </w:r>
      <w:r>
        <w:t xml:space="preserve">evidence</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Evidence note.</w:t>
      </w:r>
      <w:r>
        <w:t xml:space="preserve"> </w:t>
      </w:r>
      <w:r>
        <w:t xml:space="preserve">VOLLEY is an engineering design and computational research project. The Gen5 results in this handbook are model predictions, with numerical cross-checks where identified. No VOLLEY hardware has been built or tested, no CubeSat has been mechanically qualified for this launcher, and no launch provider has approved accommodation. The Gen6 speed range is a research envelope, not a demonstrated specification.</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and the deployment time can change its in-track phase. A larger, deliberately commanded release velocity can also change orbital energy. The proposed mission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rated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full dry system mass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In a stated orbital case, a maximum-speed release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at the exact current operating point.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Physical payload loads, magnetic cleanliness, cycle life, and provider interfaces remain unresolved. Gen5 is therefore presented as a documented computational design study, not a selected current product.</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28" w:name="introduction"/>
    <w:p>
      <w:pPr>
        <w:pStyle w:val="Heading1"/>
      </w:pPr>
      <w:r>
        <w:t xml:space="preserve">1. Introduction</w:t>
      </w:r>
    </w:p>
    <w:bookmarkStart w:id="27"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release energy</w:t>
      </w:r>
      <w:r>
        <w:t xml:space="preserve"> </w:t>
      </w:r>
      <w:r>
        <w:t xml:space="preserve">is central. Waiting between launches can produce in-track phase spacing without spending a larger release impulse. A commanded velocity along or against orbital motion can change the satellite’s orbital energy and semi-major axis. VOLLEY studies the latter capability while retaining a clear comparison with timed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p>
      <w:pPr>
        <w:pStyle w:val="CaptionedFigure"/>
      </w:pPr>
      <w:r>
        <w:drawing>
          <wp:inline>
            <wp:extent cx="5334000" cy="2669996"/>
            <wp:effectExtent b="0" l="0" r="0" t="0"/>
            <wp:docPr descr="Gen5 layout and mission hardware elements. Diagram from the thesis analysis." title="" id="25" name="Picture"/>
            <a:graphic>
              <a:graphicData uri="http://schemas.openxmlformats.org/drawingml/2006/picture">
                <pic:pic>
                  <pic:nvPicPr>
                    <pic:cNvPr descr="../../source/figures/D02_layout.png" id="26" name="Picture"/>
                    <pic:cNvPicPr>
                      <a:picLocks noChangeArrowheads="1" noChangeAspect="1"/>
                    </pic:cNvPicPr>
                  </pic:nvPicPr>
                  <pic:blipFill>
                    <a:blip r:embed="rId24"/>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27"/>
    <w:bookmarkEnd w:id="28"/>
    <w:bookmarkStart w:id="29"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Timed release and differential drag</w:t>
            </w:r>
          </w:p>
        </w:tc>
        <w:tc>
          <w:tcPr/>
          <w:p>
            <w:pPr>
              <w:pStyle w:val="Compact"/>
              <w:jc w:val="left"/>
            </w:pPr>
            <w:r>
              <w:t xml:space="preserve">In-track spacing and gradual orbital adjustment [3]</w:t>
            </w:r>
          </w:p>
        </w:tc>
        <w:tc>
          <w:tcPr/>
          <w:p>
            <w:pPr>
              <w:pStyle w:val="Compact"/>
              <w:jc w:val="left"/>
            </w:pPr>
            <w:r>
              <w:t xml:space="preserve">Timing alone can phase satellites; drag is atmosphere- and attitude-dependent.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29"/>
    <w:bookmarkStart w:id="30"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complete Gen5 computational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0"/>
    <w:bookmarkStart w:id="31"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Presentation objective</w:t>
            </w:r>
          </w:p>
        </w:tc>
        <w:tc>
          <w:tcPr/>
          <w:p>
            <w:pPr>
              <w:pStyle w:val="Compact"/>
              <w:jc w:val="left"/>
            </w:pPr>
            <w:r>
              <w:t xml:space="preserve">Evidence achieved</w:t>
            </w:r>
          </w:p>
        </w:tc>
        <w:tc>
          <w:tcPr/>
          <w:p>
            <w:pPr>
              <w:pStyle w:val="Compact"/>
              <w:jc w:val="left"/>
            </w:pPr>
            <w:r>
              <w:t xml:space="preserve">Remaining condition</w:t>
            </w:r>
          </w:p>
        </w:tc>
      </w:tr>
      <w:tr>
        <w:tc>
          <w:tcPr/>
          <w:p>
            <w:pPr>
              <w:pStyle w:val="Compact"/>
              <w:jc w:val="left"/>
            </w:pPr>
            <w:r>
              <w:t xml:space="preserve">Define a commandable 3U deployment architecture</w:t>
            </w:r>
          </w:p>
        </w:tc>
        <w:tc>
          <w:tcPr/>
          <w:p>
            <w:pPr>
              <w:pStyle w:val="Compact"/>
              <w:jc w:val="left"/>
            </w:pPr>
            <w:r>
              <w:t xml:space="preserve">Gen5 CAD, magazine, sled, motor, arrest and power architecture</w:t>
            </w:r>
          </w:p>
        </w:tc>
        <w:tc>
          <w:tcPr/>
          <w:p>
            <w:pPr>
              <w:pStyle w:val="Compact"/>
              <w:jc w:val="left"/>
            </w:pPr>
            <w:r>
              <w:t xml:space="preserve">No manufactured system or qualified payload interface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Measure actual thrust, power, timing, acceleration and dispersion</w:t>
            </w:r>
          </w:p>
        </w:tc>
      </w:tr>
      <w:tr>
        <w:tc>
          <w:tcPr/>
          <w:p>
            <w:pPr>
              <w:pStyle w:val="Compact"/>
              <w:jc w:val="left"/>
            </w:pPr>
            <w:r>
              <w:t xml:space="preserve">Quantify orbital value</w:t>
            </w:r>
          </w:p>
        </w:tc>
        <w:tc>
          <w:tcPr/>
          <w:p>
            <w:pPr>
              <w:pStyle w:val="Compact"/>
              <w:jc w:val="left"/>
            </w:pPr>
            <w:r>
              <w:t xml:space="preserve">Orbit models and some independent numerical cross-checks</w:t>
            </w:r>
          </w:p>
        </w:tc>
        <w:tc>
          <w:tcPr/>
          <w:p>
            <w:pPr>
              <w:pStyle w:val="Compact"/>
              <w:jc w:val="left"/>
            </w:pPr>
            <w:r>
              <w:t xml:space="preserve">Bind atmosphere, mission cases and host control resources</w:t>
            </w:r>
          </w:p>
        </w:tc>
      </w:tr>
      <w:tr>
        <w:tc>
          <w:tcPr/>
          <w:p>
            <w:pPr>
              <w:pStyle w:val="Compact"/>
              <w:jc w:val="left"/>
            </w:pPr>
            <w:r>
              <w:t xml:space="preserve">Test whether the whole system is competitive</w:t>
            </w:r>
          </w:p>
        </w:tc>
        <w:tc>
          <w:tcPr/>
          <w:p>
            <w:pPr>
              <w:pStyle w:val="Compact"/>
              <w:jc w:val="left"/>
            </w:pPr>
            <w:r>
              <w:t xml:space="preserve">Mass rollup, spring/alternatives comparison and failure criteria</w:t>
            </w:r>
          </w:p>
        </w:tc>
        <w:tc>
          <w:tcPr/>
          <w:p>
            <w:pPr>
              <w:pStyle w:val="Compact"/>
              <w:jc w:val="left"/>
            </w:pPr>
            <w:r>
              <w:t xml:space="preserve">Gen5 fails the 3U mass target; compare Gen6 candidates fairly</w:t>
            </w:r>
          </w:p>
        </w:tc>
      </w:tr>
      <w:tr>
        <w:tc>
          <w:tcPr/>
          <w:p>
            <w:pPr>
              <w:pStyle w:val="Compact"/>
              <w:jc w:val="left"/>
            </w:pPr>
            <w:r>
              <w:t xml:space="preserve">Define a next test-article path</w:t>
            </w:r>
          </w:p>
        </w:tc>
        <w:tc>
          <w:tcPr/>
          <w:p>
            <w:pPr>
              <w:pStyle w:val="Compact"/>
              <w:jc w:val="left"/>
            </w:pPr>
            <w:r>
              <w:t xml:space="preserve">PLAN-R2 gates N0–N5 and evidence requirements</w:t>
            </w:r>
          </w:p>
        </w:tc>
        <w:tc>
          <w:tcPr/>
          <w:p>
            <w:pPr>
              <w:pStyle w:val="Compact"/>
              <w:jc w:val="left"/>
            </w:pPr>
            <w:r>
              <w:t xml:space="preserve">Choose a configuration and obtain independent build/test review</w:t>
            </w:r>
          </w:p>
        </w:tc>
      </w:tr>
    </w:tbl>
    <w:p>
      <w:pPr>
        <w:pStyle w:val="BodyText"/>
      </w:pPr>
      <w:r>
        <w:t xml:space="preserve">These objectives summarize the research for this final-review presentation. The table reports results and unfinished work separately; it is not a claim that a university approved this exact list in advance.</w:t>
      </w:r>
    </w:p>
    <w:bookmarkEnd w:id="31"/>
    <w:bookmarkStart w:id="39"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Modelled shot: velocity, bank voltage and current at the rated point." title="" id="33" name="Picture"/>
            <a:graphic>
              <a:graphicData uri="http://schemas.openxmlformats.org/drawingml/2006/picture">
                <pic:pic>
                  <pic:nvPicPr>
                    <pic:cNvPr descr="../../source/figures/F01_shot.png" id="34" name="Picture"/>
                    <pic:cNvPicPr>
                      <a:picLocks noChangeArrowheads="1" noChangeAspect="1"/>
                    </pic:cNvPicPr>
                  </pic:nvPicPr>
                  <pic:blipFill>
                    <a:blip r:embed="rId32"/>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Modelled shot: velocity, bank voltage and current at the rated point.</w:t>
      </w:r>
    </w:p>
    <w:bookmarkStart w:id="38"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solve supports the field model at its tested location but does not independently measure the depth-integrated thrust constant.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36" name="Picture"/>
            <a:graphic>
              <a:graphicData uri="http://schemas.openxmlformats.org/drawingml/2006/picture">
                <pic:pic>
                  <pic:nvPicPr>
                    <pic:cNvPr descr="../../source/figures/A02_field_map.png" id="37" name="Picture"/>
                    <pic:cNvPicPr>
                      <a:picLocks noChangeArrowheads="1" noChangeAspect="1"/>
                    </pic:cNvPicPr>
                  </pic:nvPicPr>
                  <pic:blipFill>
                    <a:blip r:embed="rId35"/>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38"/>
    <w:bookmarkEnd w:id="39"/>
    <w:bookmarkStart w:id="41" w:name="timeline"/>
    <w:p>
      <w:pPr>
        <w:pStyle w:val="Heading1"/>
      </w:pPr>
      <w:r>
        <w:t xml:space="preserve">6. Timeline</w:t>
      </w:r>
    </w:p>
    <w:bookmarkStart w:id="40"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September 2026 onward</w:t>
            </w:r>
          </w:p>
        </w:tc>
        <w:tc>
          <w:tcPr/>
          <w:p>
            <w:pPr>
              <w:pStyle w:val="Compact"/>
              <w:jc w:val="left"/>
            </w:pPr>
            <w:r>
              <w:t xml:space="preserve">Gen6 mission and mechanism choice reopened</w:t>
            </w:r>
          </w:p>
        </w:tc>
        <w:tc>
          <w:tcPr/>
          <w:p>
            <w:pPr>
              <w:pStyle w:val="Compact"/>
              <w:jc w:val="left"/>
            </w:pPr>
            <w:r>
              <w:t xml:space="preserve">PLAN-R2 dated 29 September 2026</w:t>
            </w:r>
          </w:p>
        </w:tc>
      </w:tr>
    </w:tbl>
    <w:p>
      <w:pPr>
        <w:pStyle w:val="BodyText"/>
      </w:pPr>
      <w:r>
        <w:t xml:space="preserve">The thesis repository’s reconstructed history expressly marks several early milestone dates as approximate. The next research gates are ordered by dependency rather than by invented semester dates: N0 mission envelope, N1 coupled campaign evidence, N2 architecture trade, N3 installed burden/faults, N4 BOLLEY drive decision, and N5 first-test evidence package. Physical manufacture, integrated tests, qualification and flight are later milestones.</w:t>
      </w:r>
    </w:p>
    <w:bookmarkEnd w:id="40"/>
    <w:bookmarkEnd w:id="41"/>
    <w:bookmarkStart w:id="42" w:name="work-progress"/>
    <w:p>
      <w:pPr>
        <w:pStyle w:val="Heading1"/>
      </w:pPr>
      <w:r>
        <w:t xml:space="preserve">7. Work progress</w:t>
      </w:r>
    </w:p>
    <w:p>
      <w:pPr>
        <w:pStyle w:val="FirstParagraph"/>
      </w:pPr>
      <w:r>
        <w:t xml:space="preserve">The current review package includes an authored manuscript, CAD renders and model geometry, analysis scripts/results, validation run sheets, figures, a baseline record, a defect register, and a provenance statement. Numerical investigations cover the motor field, shot dynamics, bank/circuit, mass, orbit propagation, separation and selected structural, airflow and reliability issues. A key discipline is retaining failures and superseded results rather than silently replacing them.</w:t>
      </w:r>
    </w:p>
    <w:p>
      <w:pPr>
        <w:pStyle w:val="BodyText"/>
      </w:pPr>
      <w:r>
        <w:t xml:space="preserve">Evidence is not evenly mature. Gen5 is well documented as a computational case but has no physical article. The later long gas-guide and independent spring-cell studies are historical comparators, neither a selected current architecture nor proof that Gen6 is closed. Gen6 has a mission direction and wide investigation envelope, with mechanism and exact payload/provider cases still to be selected. The published record must not be represented as a 1 km/s demonstrated launcher.</w:t>
      </w:r>
    </w:p>
    <w:bookmarkEnd w:id="42"/>
    <w:bookmarkStart w:id="58" w:name="results"/>
    <w:p>
      <w:pPr>
        <w:pStyle w:val="Heading1"/>
      </w:pPr>
      <w:r>
        <w:t xml:space="preserve">8. Results</w:t>
      </w:r>
    </w:p>
    <w:bookmarkStart w:id="43"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along a 1.5 m track. Two transverse cassettes feed twelve 3U satellites. A capacitor-based bank supplies the pulse, and a brake arrests the sled after payload release. The sled mass, computed from detailed CAD solid volumes, is</w:t>
      </w:r>
      <w:r>
        <w:t xml:space="preserve"> </w:t>
      </w:r>
      <w:r>
        <w:rPr>
          <w:b/>
          <w:bCs/>
        </w:rPr>
        <w:t xml:space="preserve">9.45 kg</w:t>
      </w:r>
      <w:r>
        <w:t xml:space="preserve">; this value reduced the exit speed relative to an earlier optimistic parametric estimate. The CAD render conveys the arrangement; it is not evidence that parts have been manufactured or assembled.</w:t>
      </w:r>
    </w:p>
    <w:bookmarkEnd w:id="43"/>
    <w:bookmarkStart w:id="44"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the price of keeping the customer satellite unmodified. Regeneration returns only a small fraction of sled energy within the available length, so the contactless brake remains necessary. A design comparison that credits full sled recovery would misstate the system efficiency and installed burden.</w:t>
      </w:r>
    </w:p>
    <w:bookmarkEnd w:id="44"/>
    <w:bookmarkStart w:id="48"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46" name="Picture"/>
            <a:graphic>
              <a:graphicData uri="http://schemas.openxmlformats.org/drawingml/2006/picture">
                <pic:pic>
                  <pic:nvPicPr>
                    <pic:cNvPr descr="../../source/figures/F03_mc.png" id="47" name="Picture"/>
                    <pic:cNvPicPr>
                      <a:picLocks noChangeArrowheads="1" noChangeAspect="1"/>
                    </pic:cNvPicPr>
                  </pic:nvPicPr>
                  <pic:blipFill>
                    <a:blip r:embed="rId45"/>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48"/>
    <w:bookmarkStart w:id="52" w:name="orbital-utility"/>
    <w:p>
      <w:pPr>
        <w:pStyle w:val="Heading2"/>
      </w:pPr>
      <w:r>
        <w:t xml:space="preserve">Orbital utility</w:t>
      </w:r>
    </w:p>
    <w:p>
      <w:pPr>
        <w:pStyle w:val="FirstParagraph"/>
      </w:pPr>
      <w:r>
        <w:t xml:space="preserve">For the stated orbit and mean-solar-activity case, one maximum-speed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The more defensible message is conditional: a release impulse can change orbital energy, while absolute lifetime and lifetime gain depend on atmospheric density and the orbit model. A fresh independent run of the exact current 1.60 operating point remains outstanding. Timing alone can produce in-track phasing; it does not produce the same semi-major-axis change.</w:t>
      </w:r>
    </w:p>
    <w:p>
      <w:pPr>
        <w:pStyle w:val="CaptionedFigure"/>
      </w:pPr>
      <w:r>
        <w:drawing>
          <wp:inline>
            <wp:extent cx="4382391" cy="2697327"/>
            <wp:effectExtent b="0" l="0" r="0" t="0"/>
            <wp:docPr descr="Modelled orbital-lifetime response. Absolute values depend on atmosphere." title="" id="50" name="Picture"/>
            <a:graphic>
              <a:graphicData uri="http://schemas.openxmlformats.org/drawingml/2006/picture">
                <pic:pic>
                  <pic:nvPicPr>
                    <pic:cNvPr descr="../../source/figures/F04_life.png" id="51" name="Picture"/>
                    <pic:cNvPicPr>
                      <a:picLocks noChangeArrowheads="1" noChangeAspect="1"/>
                    </pic:cNvPicPr>
                  </pic:nvPicPr>
                  <pic:blipFill>
                    <a:blip r:embed="rId49"/>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52"/>
    <w:bookmarkStart w:id="56" w:name="installed-mass-changes-the-decision"/>
    <w:p>
      <w:pPr>
        <w:pStyle w:val="Heading2"/>
      </w:pPr>
      <w:r>
        <w:t xml:space="preserve">Installed mass changes the decision</w:t>
      </w:r>
    </w:p>
    <w:p>
      <w:pPr>
        <w:pStyle w:val="FirstParagraph"/>
      </w:pPr>
      <w:r>
        <w:t xml:space="preserve">The dry Gen5 rollup is</w:t>
      </w:r>
      <w:r>
        <w:t xml:space="preserve"> </w:t>
      </w:r>
      <w:r>
        <w:rPr>
          <w:b/>
          <w:bCs/>
        </w:rPr>
        <w:t xml:space="preserve">126.6 kg</w:t>
      </w:r>
      <w:r>
        <w:t xml:space="preserve"> </w:t>
      </w:r>
      <w:r>
        <w:t xml:space="preserve">and loaded mass</w:t>
      </w:r>
      <w:r>
        <w:t xml:space="preserve"> </w:t>
      </w:r>
      <w:r>
        <w:rPr>
          <w:b/>
          <w:bCs/>
        </w:rPr>
        <w:t xml:space="preserve">174.6 kg</w:t>
      </w:r>
      <w:r>
        <w:t xml:space="preserve">.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54" name="Picture"/>
            <a:graphic>
              <a:graphicData uri="http://schemas.openxmlformats.org/drawingml/2006/picture">
                <pic:pic>
                  <pic:nvPicPr>
                    <pic:cNvPr descr="../../source/figures/A35_ledger.png" id="55" name="Picture"/>
                    <pic:cNvPicPr>
                      <a:picLocks noChangeArrowheads="1" noChangeAspect="1"/>
                    </pic:cNvPicPr>
                  </pic:nvPicPr>
                  <pic:blipFill>
                    <a:blip r:embed="rId53"/>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56"/>
    <w:bookmarkStart w:id="57" w:name="decision-critical-uncertainty"/>
    <w:p>
      <w:pPr>
        <w:pStyle w:val="Heading2"/>
      </w:pPr>
      <w:r>
        <w:t xml:space="preserve">Decision-critical uncertainty</w:t>
      </w:r>
    </w:p>
    <w:p>
      <w:pPr>
        <w:pStyle w:val="FirstParagraph"/>
      </w:pPr>
      <w:r>
        <w:t xml:space="preserve">The unresolved physical risks include the release mechanism’s cycle reliability, shock and arrest loads transmitted to stowed satellites, field exposure and residual magnetisation near a customer payload, host attitude/control authority and provider approval. The known-problems register ranks several of these as potentially design-fatal. No amount of additional plotting converts those uncertainties into a measured qualification. The right next experiment is selected to discriminate a mechanism claim, not merely to improve presentation quality.</w:t>
      </w:r>
    </w:p>
    <w:bookmarkEnd w:id="57"/>
    <w:bookmarkEnd w:id="58"/>
    <w:bookmarkStart w:id="59" w:name="conclusion"/>
    <w:p>
      <w:pPr>
        <w:pStyle w:val="Heading1"/>
      </w:pPr>
      <w:r>
        <w:t xml:space="preserve">9. Conclusion</w:t>
      </w:r>
    </w:p>
    <w:p>
      <w:pPr>
        <w:pStyle w:val="FirstParagraph"/>
      </w:pPr>
      <w:r>
        <w:t xml:space="preserve">The Gen5 computational study supports a narrow and useful conclusion: a commandable moderate-acceleration release is plausible enough to analyse as a system, and a modelled release can change a CubeSat’s orbital energy. The same complete accounting shows Gen5 misses its 3U mass benchmark and leaves critical mechanical, magnetic and operational questions unmeasured. It cannot presently be described as flight-ready, provider-compatible or build-released.</w:t>
      </w:r>
    </w:p>
    <w:p>
      <w:pPr>
        <w:pStyle w:val="BodyText"/>
      </w:pPr>
      <w:r>
        <w:t xml:space="preserve">The thesis’s strongest engineering contribution is the transparent decision record: the complete machine was modelled, independent numerical checks corrected several claims, and an unfavourable mass result was retained. This record provides a defensible starting point for the next architecture trade.</w:t>
      </w:r>
    </w:p>
    <w:bookmarkEnd w:id="59"/>
    <w:bookmarkStart w:id="60"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60"/>
    <w:bookmarkStart w:id="62"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Start w:id="61" w:name="final-review-marking-crosswalk"/>
    <w:p>
      <w:pPr>
        <w:pStyle w:val="Heading2"/>
      </w:pPr>
      <w:r>
        <w:t xml:space="preserve">Final-review marking crosswalk</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Final-review criterion</w:t>
            </w:r>
          </w:p>
        </w:tc>
        <w:tc>
          <w:tcPr/>
          <w:p>
            <w:pPr>
              <w:pStyle w:val="Compact"/>
              <w:jc w:val="left"/>
            </w:pPr>
            <w:r>
              <w:t xml:space="preserve">Handbook sections and presentation evidence</w:t>
            </w:r>
          </w:p>
        </w:tc>
      </w:tr>
      <w:tr>
        <w:tc>
          <w:tcPr/>
          <w:p>
            <w:pPr>
              <w:pStyle w:val="Compact"/>
              <w:jc w:val="left"/>
            </w:pPr>
            <w:r>
              <w:t xml:space="preserve">Achievement of objectives (10 marks)</w:t>
            </w:r>
          </w:p>
        </w:tc>
        <w:tc>
          <w:tcPr/>
          <w:p>
            <w:pPr>
              <w:pStyle w:val="Compact"/>
              <w:jc w:val="left"/>
            </w:pPr>
            <w:r>
              <w:t xml:space="preserve">Objectives table; Results; Conclusion</w:t>
            </w:r>
          </w:p>
        </w:tc>
      </w:tr>
      <w:tr>
        <w:tc>
          <w:tcPr/>
          <w:p>
            <w:pPr>
              <w:pStyle w:val="Compact"/>
              <w:jc w:val="left"/>
            </w:pPr>
            <w:r>
              <w:t xml:space="preserve">Technical quality and innovation (10 marks)</w:t>
            </w:r>
          </w:p>
        </w:tc>
        <w:tc>
          <w:tcPr/>
          <w:p>
            <w:pPr>
              <w:pStyle w:val="Compact"/>
              <w:jc w:val="left"/>
            </w:pPr>
            <w:r>
              <w:t xml:space="preserve">Literature review; Research gap; Methodology; system architecture</w:t>
            </w:r>
          </w:p>
        </w:tc>
      </w:tr>
      <w:tr>
        <w:tc>
          <w:tcPr/>
          <w:p>
            <w:pPr>
              <w:pStyle w:val="Compact"/>
              <w:jc w:val="left"/>
            </w:pPr>
            <w:r>
              <w:t xml:space="preserve">Results, validation and analysis (5 marks)</w:t>
            </w:r>
          </w:p>
        </w:tc>
        <w:tc>
          <w:tcPr/>
          <w:p>
            <w:pPr>
              <w:pStyle w:val="Compact"/>
              <w:jc w:val="left"/>
            </w:pPr>
            <w:r>
              <w:t xml:space="preserve">Results tables and plots; numerical-check limits</w:t>
            </w:r>
          </w:p>
        </w:tc>
      </w:tr>
      <w:tr>
        <w:tc>
          <w:tcPr/>
          <w:p>
            <w:pPr>
              <w:pStyle w:val="Compact"/>
              <w:jc w:val="left"/>
            </w:pPr>
            <w:r>
              <w:t xml:space="preserve">Project report and documentation (5 marks)</w:t>
            </w:r>
          </w:p>
        </w:tc>
        <w:tc>
          <w:tcPr/>
          <w:p>
            <w:pPr>
              <w:pStyle w:val="Compact"/>
              <w:jc w:val="left"/>
            </w:pPr>
            <w:r>
              <w:t xml:space="preserve">Manuscript, baseline, provenance, defects and cited source records</w:t>
            </w:r>
          </w:p>
        </w:tc>
      </w:tr>
      <w:tr>
        <w:tc>
          <w:tcPr/>
          <w:p>
            <w:pPr>
              <w:pStyle w:val="Compact"/>
              <w:jc w:val="left"/>
            </w:pPr>
            <w:r>
              <w:t xml:space="preserve">Presentation, demonstration and viva (10 marks)</w:t>
            </w:r>
          </w:p>
        </w:tc>
        <w:tc>
          <w:tcPr/>
          <w:p>
            <w:pPr>
              <w:pStyle w:val="Compact"/>
              <w:jc w:val="left"/>
            </w:pPr>
            <w:r>
              <w:t xml:space="preserve">Main slides and reproducible simulation walkthrough; presenter reference book</w:t>
            </w:r>
          </w:p>
        </w:tc>
      </w:tr>
    </w:tbl>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2026-10-09T05:28:23Z</dcterms:created>
  <dcterms:modified xsi:type="dcterms:W3CDTF">2026-10-09T05:28:23Z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concept, method, results, limits, and next evidence</vt:lpwstr>
  </property>
  <property fmtid="{D5CDD505-2E9C-101B-9397-08002B2CF9AE}" pid="9" name="toc">
    <vt:lpwstr>True</vt:lpwstr>
  </property>
  <property fmtid="{D5CDD505-2E9C-101B-9397-08002B2CF9AE}" pid="10" name="toc-depth">
    <vt:lpwstr>2</vt:lpwstr>
  </property>
</Properties>
</file>