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One-line answer if asked what exists:</w:t>
      </w:r>
      <w:r>
        <w:t xml:space="preserve"> </w:t>
      </w:r>
      <w:r>
        <w:t xml:space="preserve">“</w:t>
      </w:r>
      <w:r>
        <w:t xml:space="preserve">We have a documented computational Gen5 design with numerical cross-checks. We have not built or experimentally validated it. The later Gen6 programme is an open architecture trade aimed at a reviewable first test article.</w:t>
      </w:r>
      <w:r>
        <w:t xml:space="preserve">”</w:t>
      </w:r>
    </w:p>
    <w:bookmarkStart w:id="21"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With an unknown time limit, begin with a brief introduction and ask the panel for their preferred duration before presenting. If they want a short version, use the route below.</w:t>
      </w:r>
    </w:p>
    <w:bookmarkStart w:id="20"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 11–13, 15–21</w:t>
      </w:r>
      <w:r>
        <w:t xml:space="preserve">, keeping the literature and model tables brief. Never skip the mass failure, evidence boundary, or conclusion. Slides 22–23 are references for questions. The full route follows all 23 slides in order.</w:t>
      </w:r>
    </w:p>
    <w:bookmarkEnd w:id="20"/>
    <w:bookmarkEnd w:id="21"/>
    <w:bookmarkStart w:id="44" w:name="slide-by-slide-speaking-notes"/>
    <w:p>
      <w:pPr>
        <w:pStyle w:val="Heading1"/>
      </w:pPr>
      <w:r>
        <w:t xml:space="preserve">Slide-by-slide speaking notes</w:t>
      </w:r>
    </w:p>
    <w:bookmarkStart w:id="22" w:name="title"/>
    <w:p>
      <w:pPr>
        <w:pStyle w:val="Heading2"/>
      </w:pPr>
      <w:r>
        <w:t xml:space="preserve">1. Title</w:t>
      </w:r>
    </w:p>
    <w:p>
      <w:pPr>
        <w:pStyle w:val="FirstParagraph"/>
      </w:pPr>
      <w:r>
        <w:t xml:space="preserve">“</w:t>
      </w:r>
      <w:r>
        <w:t xml:space="preserve">We are Adityavardhan Mishra and Pratham Chawla, guided by Vikas Gulia. VOLLEY studies controlled release of CubeSats from a hosted orbital platform. Today we present the Gen5 analytical thesis results, then clearly separate the Gen6 direction and the evidence still needed.</w:t>
      </w:r>
      <w:r>
        <w:t xml:space="preserve">”</w:t>
      </w:r>
      <w:r>
        <w:t xml:space="preserve"> </w:t>
      </w:r>
      <w:r>
        <w:t xml:space="preserve">Point to the image as a CAD render, not physical hardware.</w:t>
      </w:r>
    </w:p>
    <w:bookmarkEnd w:id="22"/>
    <w:bookmarkStart w:id="23"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3"/>
    <w:bookmarkStart w:id="24" w:name="introduction"/>
    <w:p>
      <w:pPr>
        <w:pStyle w:val="Heading2"/>
      </w:pPr>
      <w:r>
        <w:t xml:space="preserve">3. Introduction</w:t>
      </w:r>
    </w:p>
    <w:p>
      <w:pPr>
        <w:pStyle w:val="FirstParagraph"/>
      </w:pPr>
      <w:r>
        <w:t xml:space="preserve">The central problem is that a rideshare CubeSat gets the primary mission’s orbit. Springs provide essential clearance but generally only a small separation velocity. Timing can already create in-track phasing; VOLLEY’s additional question is whether commandable release changes orbital energy enough to justify its mass. The host, if capable and permitted, makes coarse moves. VOLLEY would set the local release state of each satellite. There is no approved host.</w:t>
      </w:r>
    </w:p>
    <w:bookmarkEnd w:id="24"/>
    <w:bookmarkStart w:id="25"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Timed release and differential drag address some phasing needs.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5"/>
    <w:bookmarkStart w:id="26"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6"/>
    <w:bookmarkStart w:id="27" w:name="objectives"/>
    <w:p>
      <w:pPr>
        <w:pStyle w:val="Heading2"/>
      </w:pPr>
      <w:r>
        <w:t xml:space="preserve">6. Objectives</w:t>
      </w:r>
    </w:p>
    <w:p>
      <w:pPr>
        <w:pStyle w:val="FirstParagraph"/>
      </w:pPr>
      <w:r>
        <w:t xml:space="preserve">Walk down the status column. Architecture is defined and modelled. Shot and orbit outcomes are predictions. Installed mass was counted and produced an unfavorable 3U result. The next-test path is specified but not completed. If asked whether objectives were</w:t>
      </w:r>
      <w:r>
        <w:t xml:space="preserve"> </w:t>
      </w:r>
      <w:r>
        <w:t xml:space="preserve">“</w:t>
      </w:r>
      <w:r>
        <w:t xml:space="preserve">achieved,</w:t>
      </w:r>
      <w:r>
        <w:t xml:space="preserve">”</w:t>
      </w:r>
      <w:r>
        <w:t xml:space="preserve"> </w:t>
      </w:r>
      <w:r>
        <w:t xml:space="preserve">distinguish the</w:t>
      </w:r>
      <w:r>
        <w:t xml:space="preserve"> </w:t>
      </w:r>
      <w:r>
        <w:rPr>
          <w:b/>
          <w:bCs/>
        </w:rPr>
        <w:t xml:space="preserve">research objectives</w:t>
      </w:r>
      <w:r>
        <w:t xml:space="preserve"> </w:t>
      </w:r>
      <w:r>
        <w:t xml:space="preserve">(study, quantify, compare) from</w:t>
      </w:r>
      <w:r>
        <w:t xml:space="preserve"> </w:t>
      </w:r>
      <w:r>
        <w:rPr>
          <w:b/>
          <w:bCs/>
        </w:rPr>
        <w:t xml:space="preserve">product maturity</w:t>
      </w:r>
      <w:r>
        <w:t xml:space="preserve"> </w:t>
      </w:r>
      <w:r>
        <w:t xml:space="preserve">(hardware performance and compatibility). Do not award yourself completion solely because documents exist.</w:t>
      </w:r>
    </w:p>
    <w:bookmarkEnd w:id="27"/>
    <w:bookmarkStart w:id="28" w:name="research-methodology-flow"/>
    <w:p>
      <w:pPr>
        <w:pStyle w:val="Heading2"/>
      </w:pPr>
      <w:r>
        <w:t xml:space="preserve">7. Research methodology — flow</w:t>
      </w:r>
    </w:p>
    <w:p>
      <w:pPr>
        <w:pStyle w:val="FirstParagraph"/>
      </w:pPr>
      <w:r>
        <w:t xml:space="preserve">Describe one example along the chain: choose the 3U case; size the geometry and magnet sled; calculate force, pulse and release state; propagate the orbit; compare its value against a spring and its burden against a spring canister; challenge the model with independent numerical checks. The process is iterative: findings changed the baseline, including the sled mass and magnetic thrust integral.</w:t>
      </w:r>
    </w:p>
    <w:bookmarkEnd w:id="28"/>
    <w:bookmarkStart w:id="29" w:name="research-methodology-evidence"/>
    <w:p>
      <w:pPr>
        <w:pStyle w:val="Heading2"/>
      </w:pPr>
      <w:r>
        <w:t xml:space="preserve">8. Research methodology — evidence</w:t>
      </w:r>
    </w:p>
    <w:p>
      <w:pPr>
        <w:pStyle w:val="FirstParagraph"/>
      </w:pPr>
      <w:r>
        <w:t xml:space="preserve">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 the words</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29"/>
    <w:bookmarkStart w:id="30"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thesis preparation. The Gen6 trade reopened in September 2026.</w:t>
      </w:r>
    </w:p>
    <w:bookmarkEnd w:id="30"/>
    <w:bookmarkStart w:id="31" w:name="timeline-future"/>
    <w:p>
      <w:pPr>
        <w:pStyle w:val="Heading2"/>
      </w:pPr>
      <w:r>
        <w:t xml:space="preserve">10. Timeline — future</w:t>
      </w:r>
    </w:p>
    <w:p>
      <w:pPr>
        <w:pStyle w:val="FirstParagraph"/>
      </w:pPr>
      <w:r>
        <w:t xml:space="preserve">N0 through N5 are evidence gates, not a promise of completion by a particular calendar date. The sequence prevents choosing hardware before the mission/payload/host case and acceptance bands are fixed. N5 is a first-test evidence package; independent build/test release needs additional closure. The 1 km/s high end could be rejected by acceleration, energy, travel, payload or provider constraints.</w:t>
      </w:r>
    </w:p>
    <w:bookmarkEnd w:id="31"/>
    <w:bookmarkStart w:id="32" w:name="work-progress"/>
    <w:p>
      <w:pPr>
        <w:pStyle w:val="Heading2"/>
      </w:pPr>
      <w:r>
        <w:t xml:space="preserve">11. Work progress</w:t>
      </w:r>
    </w:p>
    <w:p>
      <w:pPr>
        <w:pStyle w:val="FirstParagraph"/>
      </w:pPr>
      <w:r>
        <w:t xml:space="preserve">Show the tangible record: manuscript, CAD, scripts, numerical run sheets, baseline, provenance and defect register. Distinguish it from what is absent: a built article, measured field/shot, qualified payload and host agreement. Avoid any percentage-complete claim. Acknowledge that the later gas and spring-cell studies are historical comparators, not selected Gen6 hardware.</w:t>
      </w:r>
    </w:p>
    <w:bookmarkEnd w:id="32"/>
    <w:bookmarkStart w:id="33" w:name="results-architecture"/>
    <w:p>
      <w:pPr>
        <w:pStyle w:val="Heading2"/>
      </w:pPr>
      <w:r>
        <w:t xml:space="preserve">12. Results — architecture</w:t>
      </w:r>
    </w:p>
    <w:p>
      <w:pPr>
        <w:pStyle w:val="FirstParagraph"/>
      </w:pPr>
      <w:r>
        <w:t xml:space="preserve">Explain the chain in the CAD render: cassettes feed a 3U satellite; the reusable magnet sled is driven along the 1.5 m track; the payload departs; the sled is arrested. The model includes a 9.45 kg CAD-derived sled. The large sled makes recovery, braking, power and mass central rather than ancillary details. No component in this image has been built for VOLLEY.</w:t>
      </w:r>
    </w:p>
    <w:bookmarkEnd w:id="33"/>
    <w:bookmarkStart w:id="34"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4"/>
    <w:bookmarkStart w:id="35" w:name="results-command-precision"/>
    <w:p>
      <w:pPr>
        <w:pStyle w:val="Heading2"/>
      </w:pPr>
      <w:r>
        <w:t xml:space="preserve">14.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5"/>
    <w:bookmarkStart w:id="36" w:name="results-orbit"/>
    <w:p>
      <w:pPr>
        <w:pStyle w:val="Heading2"/>
      </w:pPr>
      <w:r>
        <w:t xml:space="preserve">15. Results — orbit</w:t>
      </w:r>
    </w:p>
    <w:p>
      <w:pPr>
        <w:pStyle w:val="FirstParagraph"/>
      </w:pPr>
      <w:r>
        <w:t xml:space="preserve">The model predicts a 28.8 km semi-major-axis rise and a 1.60× lifetime multiplier at mean solar activity for one maximum-velocity release. The exact multiplier is not universal. A prior invariance claim failed an independent propagator check, and the current 1.60 result has not been independently rerun at its precise updated operating point. Timing alone can phase satellites; the energy change is the reason to consider a larger release impulse.</w:t>
      </w:r>
    </w:p>
    <w:bookmarkEnd w:id="36"/>
    <w:bookmarkStart w:id="37" w:name="results-mass"/>
    <w:p>
      <w:pPr>
        <w:pStyle w:val="Heading2"/>
      </w:pPr>
      <w:r>
        <w:t xml:space="preserve">16.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7"/>
    <w:bookmarkStart w:id="38" w:name="results-limits"/>
    <w:p>
      <w:pPr>
        <w:pStyle w:val="Heading2"/>
      </w:pPr>
      <w:r>
        <w:t xml:space="preserve">17. Results — limits</w:t>
      </w:r>
    </w:p>
    <w:p>
      <w:pPr>
        <w:pStyle w:val="FirstParagraph"/>
      </w:pPr>
      <w:r>
        <w:t xml:space="preserve">The three major practical uncertainties are payload interface (contact, arrest load, magnetic cleanliness), shared reliability (a jam can affect later satellites), and host compatibility. These determine whether a modelled shot could become a safe product. Explain that a numerical result at a declared boundary is useful but narrower than physical evidence. A single well-designed discriminating coupon can be more decisive than many new plots.</w:t>
      </w:r>
    </w:p>
    <w:bookmarkEnd w:id="38"/>
    <w:bookmarkStart w:id="39" w:name="results-simulation-demonstration"/>
    <w:p>
      <w:pPr>
        <w:pStyle w:val="Heading2"/>
      </w:pPr>
      <w:r>
        <w:t xml:space="preserve">18. Results — simulation demonstration</w:t>
      </w:r>
    </w:p>
    <w:p>
      <w:pPr>
        <w:pStyle w:val="FirstParagraph"/>
      </w:pPr>
      <w:r>
        <w:t xml:space="preserve">Walk through four transparent steps: choose the modelled 3U case; show the shot figure and operating-point table; feed its release state into the orbit model; compare predicted orbital change and installed mass with the spring benchmark. The panel can inspect the scripts and records in the project archive. If the computer cannot run a script during the review, the slide and handbook reproduce the same model chain. Call this a</w:t>
      </w:r>
      <w:r>
        <w:t xml:space="preserve"> </w:t>
      </w:r>
      <w:r>
        <w:rPr>
          <w:b/>
          <w:bCs/>
        </w:rPr>
        <w:t xml:space="preserve">computational demonstration</w:t>
      </w:r>
      <w:r>
        <w:t xml:space="preserve">.</w:t>
      </w:r>
    </w:p>
    <w:bookmarkEnd w:id="39"/>
    <w:bookmarkStart w:id="40" w:name="conclusion"/>
    <w:p>
      <w:pPr>
        <w:pStyle w:val="Heading2"/>
      </w:pPr>
      <w:r>
        <w:t xml:space="preserve">19. Conclusion</w:t>
      </w:r>
    </w:p>
    <w:p>
      <w:pPr>
        <w:pStyle w:val="FirstParagraph"/>
      </w:pPr>
      <w:r>
        <w:t xml:space="preserve">“</w:t>
      </w:r>
      <w:r>
        <w:t xml:space="preserve">The thesis establishes a coherent analytical case for commandable release and records a conditional orbital benefit. It also finds that Gen5 fails the 3U mass criterion and is not physically validated. The conclusion is to retain the evidence and reopen the mechanism trade.</w:t>
      </w:r>
      <w:r>
        <w:t xml:space="preserve">”</w:t>
      </w:r>
      <w:r>
        <w:t xml:space="preserve"> </w:t>
      </w:r>
      <w:r>
        <w:t xml:space="preserve">End on the decision supported by results, not on an unsupported promise of flight use.</w:t>
      </w:r>
    </w:p>
    <w:bookmarkEnd w:id="40"/>
    <w:bookmarkStart w:id="41" w:name="future-work-gen6"/>
    <w:p>
      <w:pPr>
        <w:pStyle w:val="Heading2"/>
      </w:pPr>
      <w:r>
        <w:t xml:space="preserve">20.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1"/>
    <w:bookmarkStart w:id="42" w:name="future-work-test-article"/>
    <w:p>
      <w:pPr>
        <w:pStyle w:val="Heading2"/>
      </w:pPr>
      <w:r>
        <w:t xml:space="preserve">21.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2"/>
    <w:bookmarkStart w:id="43" w:name="references"/>
    <w:p>
      <w:pPr>
        <w:pStyle w:val="Heading2"/>
      </w:pPr>
      <w:r>
        <w:t xml:space="preserve">22–23.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3"/>
    <w:bookmarkEnd w:id="44"/>
    <w:bookmarkStart w:id="45"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Gen5 modelled 3U exit velocity</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5"/>
    <w:bookmarkStart w:id="46"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46"/>
    <w:bookmarkStart w:id="47"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That is a valid way to obtain in-track spacing and must be the baseline. Timing alone does not provide the same immediate semi-major-axis change that a directed impulse can supply.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47"/>
    <w:bookmarkStart w:id="48"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48"/>
    <w:bookmarkStart w:id="49"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2026-10-09T05:28:26Z</dcterms:created>
  <dcterms:modified xsi:type="dcterms:W3CDTF">2026-10-09T05:28:26Z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