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33.png" ContentType="image/png"/>
  <Override PartName="/word/media/rId29.png" ContentType="image/png"/>
  <Override PartName="/word/media/rId25.png" ContentType="image/png"/>
  <Override PartName="/word/media/rId90.png" ContentType="image/png"/>
  <Override PartName="/word/media/rId41.png" ContentType="image/png"/>
  <Override PartName="/word/media/rId77.png" ContentType="image/png"/>
  <Override PartName="/word/media/rId62.png" ContentType="image/png"/>
  <Override PartName="/word/media/rId84.png" ContentType="image/png"/>
  <Override PartName="/word/media/rId51.png" ContentType="image/png"/>
  <Override PartName="/word/media/rId59.png" ContentType="image/png"/>
  <Override PartName="/word/media/rId73.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For an assumed historical 16.029 m/s input, the orbit model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for that assumed historical input.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44" w:name="X6be4c09543f80416e16a1bdcc406a9e300f8f3f"/>
    <w:p>
      <w:pPr>
        <w:pStyle w:val="Heading1"/>
      </w:pPr>
      <w:r>
        <w:t xml:space="preserve">New decisive findings: finite force, feeder route and matched mission</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28">
        <w:r>
          <w:rPr>
            <w:rStyle w:val="Hyperlink"/>
          </w:rPr>
          <w:t xml:space="preserve">P119</w:t>
        </w:r>
      </w:hyperlink>
      <w:r>
        <w:t xml:space="preserve"> </w:t>
      </w:r>
      <w:r>
        <w:t xml:space="preserve">records meshes, convergence and assumptions.</w:t>
      </w:r>
    </w:p>
    <w:p>
      <w:pPr>
        <w:pStyle w:val="CaptionedFigure"/>
      </w:pPr>
      <w:r>
        <w:drawing>
          <wp:inline>
            <wp:extent cx="5120640" cy="2617216"/>
            <wp:effectExtent b="0" l="0" r="0" t="0"/>
            <wp:docPr descr="Independent 2-D finite-element force screen, not a measurement." title="" id="30" name="Picture"/>
            <a:graphic>
              <a:graphicData uri="http://schemas.openxmlformats.org/drawingml/2006/picture">
                <pic:pic>
                  <pic:nvPicPr>
                    <pic:cNvPr descr="../../figures/gen5_finite_force_fem2d.png" id="31" name="Picture"/>
                    <pic:cNvPicPr>
                      <a:picLocks noChangeArrowheads="1" noChangeAspect="1"/>
                    </pic:cNvPicPr>
                  </pic:nvPicPr>
                  <pic:blipFill>
                    <a:blip r:embed="rId29"/>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Independent 2-D finite-element force screen, not a measurement.</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32">
        <w:r>
          <w:rPr>
            <w:rStyle w:val="Hyperlink"/>
          </w:rPr>
          <w:t xml:space="preserve">P120</w:t>
        </w:r>
      </w:hyperlink>
      <w:r>
        <w:t xml:space="preserve"> </w:t>
      </w:r>
      <w:r>
        <w:t xml:space="preserve">gives the time history and energy ledger.</w:t>
      </w:r>
    </w:p>
    <w:p>
      <w:pPr>
        <w:pStyle w:val="CaptionedFigure"/>
      </w:pPr>
      <w:r>
        <w:drawing>
          <wp:inline>
            <wp:extent cx="5120640" cy="3607723"/>
            <wp:effectExtent b="0" l="0" r="0" t="0"/>
            <wp:docPr descr="Finite-force speed and assumed bank energy histories." title="" id="34" name="Picture"/>
            <a:graphic>
              <a:graphicData uri="http://schemas.openxmlformats.org/drawingml/2006/picture">
                <pic:pic>
                  <pic:nvPicPr>
                    <pic:cNvPr descr="../../figures/gen5_finite_coupled_shot.png" id="35" name="Picture"/>
                    <pic:cNvPicPr>
                      <a:picLocks noChangeArrowheads="1" noChangeAspect="1"/>
                    </pic:cNvPicPr>
                  </pic:nvPicPr>
                  <pic:blipFill>
                    <a:blip r:embed="rId33"/>
                    <a:stretch>
                      <a:fillRect/>
                    </a:stretch>
                  </pic:blipFill>
                  <pic:spPr bwMode="auto">
                    <a:xfrm>
                      <a:off x="0" y="0"/>
                      <a:ext cx="5120640" cy="3607723"/>
                    </a:xfrm>
                    <a:prstGeom prst="rect">
                      <a:avLst/>
                    </a:prstGeom>
                    <a:noFill/>
                    <a:ln w="9525">
                      <a:noFill/>
                      <a:headEnd/>
                      <a:tailEnd/>
                    </a:ln>
                  </pic:spPr>
                </pic:pic>
              </a:graphicData>
            </a:graphic>
          </wp:inline>
        </w:drawing>
      </w:r>
    </w:p>
    <w:p>
      <w:pPr>
        <w:pStyle w:val="ImageCaption"/>
      </w:pPr>
      <w:r>
        <w:t xml:space="preserve">Finite-force speed and assumed bank energy histories.</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pass exact-solid static fit and twelve scripted 3U envelope transfer paths with conservative fixed-part swept boxes. It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36">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38" name="Picture"/>
            <a:graphic>
              <a:graphicData uri="http://schemas.openxmlformats.org/drawingml/2006/picture">
                <pic:pic>
                  <pic:nvPicPr>
                    <pic:cNvPr descr="../../figures/gen5_feeder_candidate_r1.png" id="39" name="Picture"/>
                    <pic:cNvPicPr>
                      <a:picLocks noChangeArrowheads="1" noChangeAspect="1"/>
                    </pic:cNvPicPr>
                  </pic:nvPicPr>
                  <pic:blipFill>
                    <a:blip r:embed="rId37"/>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0">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42" name="Picture"/>
            <a:graphic>
              <a:graphicData uri="http://schemas.openxmlformats.org/drawingml/2006/picture">
                <pic:pic>
                  <pic:nvPicPr>
                    <pic:cNvPr descr="../../figures/matched_mission_reference.png" id="43" name="Picture"/>
                    <pic:cNvPicPr>
                      <a:picLocks noChangeArrowheads="1" noChangeAspect="1"/>
                    </pic:cNvPicPr>
                  </pic:nvPicPr>
                  <pic:blipFill>
                    <a:blip r:embed="rId41"/>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End w:id="44"/>
    <w:bookmarkStart w:id="55" w:name="introduction"/>
    <w:p>
      <w:pPr>
        <w:pStyle w:val="Heading1"/>
      </w:pPr>
      <w:r>
        <w:t xml:space="preserve">1. Introduction</w:t>
      </w:r>
    </w:p>
    <w:bookmarkStart w:id="45"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45"/>
    <w:bookmarkStart w:id="54" w:name="buyer-and-spacecraft-fit"/>
    <w:p>
      <w:pPr>
        <w:pStyle w:val="Heading2"/>
      </w:pPr>
      <w:r>
        <w:t xml:space="preserve">Buyer and spacecraft fit</w:t>
      </w:r>
    </w:p>
    <w:p>
      <w:pPr>
        <w:pStyle w:val="FirstParagraph"/>
      </w:pPr>
      <w:r>
        <w:t xml:space="preserve">The</w:t>
      </w:r>
      <w:r>
        <w:t xml:space="preserve"> </w:t>
      </w:r>
      <w:hyperlink r:id="rId46">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47">
        <w:r>
          <w:rPr>
            <w:rStyle w:val="Hyperlink"/>
          </w:rPr>
          <w:t xml:space="preserve">Planet’s FY2026 filing</w:t>
        </w:r>
      </w:hyperlink>
      <w:r>
        <w:t xml:space="preserve"> </w:t>
      </w:r>
      <w:r>
        <w:t xml:space="preserve">and</w:t>
      </w:r>
      <w:r>
        <w:t xml:space="preserve"> </w:t>
      </w:r>
      <w:hyperlink r:id="rId48">
        <w:r>
          <w:rPr>
            <w:rStyle w:val="Hyperlink"/>
          </w:rPr>
          <w:t xml:space="preserve">Spire’s 2025 filing</w:t>
        </w:r>
      </w:hyperlink>
      <w:r>
        <w:t xml:space="preserve"> </w:t>
      </w:r>
      <w:r>
        <w:t xml:space="preserve">show repeatable, configurable smallsat production.</w:t>
      </w:r>
      <w:r>
        <w:t xml:space="preserve"> </w:t>
      </w:r>
      <w:hyperlink r:id="rId49">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50">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52" name="Picture"/>
            <a:graphic>
              <a:graphicData uri="http://schemas.openxmlformats.org/drawingml/2006/picture">
                <pic:pic>
                  <pic:nvPicPr>
                    <pic:cNvPr descr="../../source/figures/D02_layout.png" id="53" name="Picture"/>
                    <pic:cNvPicPr>
                      <a:picLocks noChangeArrowheads="1" noChangeAspect="1"/>
                    </pic:cNvPicPr>
                  </pic:nvPicPr>
                  <pic:blipFill>
                    <a:blip r:embed="rId51"/>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54"/>
    <w:bookmarkEnd w:id="55"/>
    <w:bookmarkStart w:id="56"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56"/>
    <w:bookmarkStart w:id="57"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57"/>
    <w:bookmarkStart w:id="58"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58"/>
    <w:bookmarkStart w:id="66"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Historical modeled shot: velocity, bank voltage and current." title="" id="60" name="Picture"/>
            <a:graphic>
              <a:graphicData uri="http://schemas.openxmlformats.org/drawingml/2006/picture">
                <pic:pic>
                  <pic:nvPicPr>
                    <pic:cNvPr descr="../../source/figures/F01_shot.png" id="61" name="Picture"/>
                    <pic:cNvPicPr>
                      <a:picLocks noChangeArrowheads="1" noChangeAspect="1"/>
                    </pic:cNvPicPr>
                  </pic:nvPicPr>
                  <pic:blipFill>
                    <a:blip r:embed="rId59"/>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Historical modeled shot: velocity, bank voltage and current.</w:t>
      </w:r>
    </w:p>
    <w:bookmarkStart w:id="65"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63" name="Picture"/>
            <a:graphic>
              <a:graphicData uri="http://schemas.openxmlformats.org/drawingml/2006/picture">
                <pic:pic>
                  <pic:nvPicPr>
                    <pic:cNvPr descr="../../source/figures/A02_field_map.png" id="64" name="Picture"/>
                    <pic:cNvPicPr>
                      <a:picLocks noChangeArrowheads="1" noChangeAspect="1"/>
                    </pic:cNvPicPr>
                  </pic:nvPicPr>
                  <pic:blipFill>
                    <a:blip r:embed="rId62"/>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65"/>
    <w:bookmarkEnd w:id="66"/>
    <w:bookmarkStart w:id="68" w:name="timeline"/>
    <w:p>
      <w:pPr>
        <w:pStyle w:val="Heading1"/>
      </w:pPr>
      <w:r>
        <w:t xml:space="preserve">6. Timeline</w:t>
      </w:r>
    </w:p>
    <w:bookmarkStart w:id="67"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67"/>
    <w:bookmarkEnd w:id="68"/>
    <w:bookmarkStart w:id="69"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69"/>
    <w:bookmarkStart w:id="95" w:name="results"/>
    <w:p>
      <w:pPr>
        <w:pStyle w:val="Heading1"/>
      </w:pPr>
      <w:r>
        <w:t xml:space="preserve">8. Results</w:t>
      </w:r>
    </w:p>
    <w:bookmarkStart w:id="70"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70"/>
    <w:bookmarkStart w:id="72"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71">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72"/>
    <w:bookmarkStart w:id="76"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74" name="Picture"/>
            <a:graphic>
              <a:graphicData uri="http://schemas.openxmlformats.org/drawingml/2006/picture">
                <pic:pic>
                  <pic:nvPicPr>
                    <pic:cNvPr descr="../../source/figures/F03_mc.png" id="75" name="Picture"/>
                    <pic:cNvPicPr>
                      <a:picLocks noChangeArrowheads="1" noChangeAspect="1"/>
                    </pic:cNvPicPr>
                  </pic:nvPicPr>
                  <pic:blipFill>
                    <a:blip r:embed="rId73"/>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76"/>
    <w:bookmarkStart w:id="83" w:name="orbital-utility"/>
    <w:p>
      <w:pPr>
        <w:pStyle w:val="Heading2"/>
      </w:pPr>
      <w:r>
        <w:t xml:space="preserve">Orbital utility</w:t>
      </w:r>
    </w:p>
    <w:p>
      <w:pPr>
        <w:pStyle w:val="FirstParagraph"/>
      </w:pPr>
      <w:r>
        <w:t xml:space="preserve">For the stated orbit and mean-solar-activity case, an assumed historical 16.029 m/s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78" name="Picture"/>
            <a:graphic>
              <a:graphicData uri="http://schemas.openxmlformats.org/drawingml/2006/picture">
                <pic:pic>
                  <pic:nvPicPr>
                    <pic:cNvPr descr="../../figures/rated_orbit_crosscheck.png" id="79" name="Picture"/>
                    <pic:cNvPicPr>
                      <a:picLocks noChangeArrowheads="1" noChangeAspect="1"/>
                    </pic:cNvPicPr>
                  </pic:nvPicPr>
                  <pic:blipFill>
                    <a:blip r:embed="rId77"/>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81" name="Picture"/>
            <a:graphic>
              <a:graphicData uri="http://schemas.openxmlformats.org/drawingml/2006/picture">
                <pic:pic>
                  <pic:nvPicPr>
                    <pic:cNvPr descr="../../source/figures/F04_life.png" id="82" name="Picture"/>
                    <pic:cNvPicPr>
                      <a:picLocks noChangeArrowheads="1" noChangeAspect="1"/>
                    </pic:cNvPicPr>
                  </pic:nvPicPr>
                  <pic:blipFill>
                    <a:blip r:embed="rId80"/>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83"/>
    <w:bookmarkStart w:id="87"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87"/>
    <w:bookmarkStart w:id="93"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89">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93"/>
    <w:bookmarkStart w:id="94" w:name="decision-and-evidence-boundary"/>
    <w:p>
      <w:pPr>
        <w:pStyle w:val="Heading2"/>
      </w:pPr>
      <w:r>
        <w:t xml:space="preserve">Decision and evidence boundary</w:t>
      </w:r>
    </w:p>
    <w:p>
      <w:pPr>
        <w:pStyle w:val="FirstParagraph"/>
      </w:pPr>
      <w:r>
        <w:t xml:space="preserve">The analytical result has four parts. The model supports a commandable release and conditional orbital-energy benefit;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94"/>
    <w:bookmarkEnd w:id="95"/>
    <w:bookmarkStart w:id="96"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96"/>
    <w:bookmarkStart w:id="97"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97"/>
    <w:bookmarkStart w:id="98"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90" Target="media/rId90.png" /><Relationship Type="http://schemas.openxmlformats.org/officeDocument/2006/relationships/image" Id="rId41" Target="media/rId41.png" /><Relationship Type="http://schemas.openxmlformats.org/officeDocument/2006/relationships/image" Id="rId77" Target="media/rId77.png" /><Relationship Type="http://schemas.openxmlformats.org/officeDocument/2006/relationships/image" Id="rId62" Target="media/rId62.png" /><Relationship Type="http://schemas.openxmlformats.org/officeDocument/2006/relationships/image" Id="rId84" Target="media/rId84.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80" Target="media/rId80.png" /><Relationship Type="http://schemas.openxmlformats.org/officeDocument/2006/relationships/hyperlink" Id="rId46" Target="../../MARKET_AND_CUSTOMER_FIT.md" TargetMode="External" /><Relationship Type="http://schemas.openxmlformats.org/officeDocument/2006/relationships/hyperlink" Id="rId36" Target="../../cad/FEEDER_CANDIDATE_R1.md" TargetMode="External" /><Relationship Type="http://schemas.openxmlformats.org/officeDocument/2006/relationships/hyperlink" Id="rId88" Target="../../cad/GEN5_CAD_REVIEW.pdf" TargetMode="External" /><Relationship Type="http://schemas.openxmlformats.org/officeDocument/2006/relationships/hyperlink" Id="rId40" Target="../../docs/MATCHED_MISSION_REFERENCE.md" TargetMode="External" /><Relationship Type="http://schemas.openxmlformats.org/officeDocument/2006/relationships/hyperlink" Id="rId89" Target="../../validation/P116_gen5_assembly_packaging.md" TargetMode="External" /><Relationship Type="http://schemas.openxmlformats.org/officeDocument/2006/relationships/hyperlink" Id="rId71"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2" Target="../../validation/P120_gen5_finite_coupled_shot.md" TargetMode="External" /><Relationship Type="http://schemas.openxmlformats.org/officeDocument/2006/relationships/hyperlink" Id="rId50" Target="https://new.spacex.com/rideshare" TargetMode="External" /><Relationship Type="http://schemas.openxmlformats.org/officeDocument/2006/relationships/hyperlink" Id="rId49" Target="https://www.nasa.gov/smallsat-institute/sst-soa/integration-launch-and-deployment/" TargetMode="External" /><Relationship Type="http://schemas.openxmlformats.org/officeDocument/2006/relationships/hyperlink" Id="rId48" Target="https://www.sec.gov/Archives/edgar/data/1816017/000119312526116169/spir-20251231.htm" TargetMode="External" /><Relationship Type="http://schemas.openxmlformats.org/officeDocument/2006/relationships/hyperlink" Id="rId47"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46" Target="../../MARKET_AND_CUSTOMER_FIT.md" TargetMode="External" /><Relationship Type="http://schemas.openxmlformats.org/officeDocument/2006/relationships/hyperlink" Id="rId36" Target="../../cad/FEEDER_CANDIDATE_R1.md" TargetMode="External" /><Relationship Type="http://schemas.openxmlformats.org/officeDocument/2006/relationships/hyperlink" Id="rId88" Target="../../cad/GEN5_CAD_REVIEW.pdf" TargetMode="External" /><Relationship Type="http://schemas.openxmlformats.org/officeDocument/2006/relationships/hyperlink" Id="rId40" Target="../../docs/MATCHED_MISSION_REFERENCE.md" TargetMode="External" /><Relationship Type="http://schemas.openxmlformats.org/officeDocument/2006/relationships/hyperlink" Id="rId89" Target="../../validation/P116_gen5_assembly_packaging.md" TargetMode="External" /><Relationship Type="http://schemas.openxmlformats.org/officeDocument/2006/relationships/hyperlink" Id="rId71"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2" Target="../../validation/P120_gen5_finite_coupled_shot.md" TargetMode="External" /><Relationship Type="http://schemas.openxmlformats.org/officeDocument/2006/relationships/hyperlink" Id="rId50" Target="https://new.spacex.com/rideshare" TargetMode="External" /><Relationship Type="http://schemas.openxmlformats.org/officeDocument/2006/relationships/hyperlink" Id="rId49" Target="https://www.nasa.gov/smallsat-institute/sst-soa/integration-launch-and-deployment/" TargetMode="External" /><Relationship Type="http://schemas.openxmlformats.org/officeDocument/2006/relationships/hyperlink" Id="rId48" Target="https://www.sec.gov/Archives/edgar/data/1816017/000119312526116169/spir-20251231.htm" TargetMode="External" /><Relationship Type="http://schemas.openxmlformats.org/officeDocument/2006/relationships/hyperlink" Id="rId47"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2026-10-09T12:19:12Z</dcterms:created>
  <dcterms:modified xsi:type="dcterms:W3CDTF">2026-10-09T12:19:12Z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