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At the rated 3U point it predicts a 16.0 m/s release and an orbit benefit. The mass comparison fails,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At the rated 16.029 m/s release point,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cad-packaging-check"/>
    <w:p>
      <w:pPr>
        <w:pStyle w:val="Heading2"/>
      </w:pPr>
      <w:r>
        <w:t xml:space="preserve">17.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independently integrate its release state for two orbits; then inspect the rated-orbit plot, mass comparison and FreeCAD section. The panel can inspect the scripts, FreeCAD document and reports in this repository. If a script cannot run during review, the slide and handbook reproduce the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computational evaluation. It predicts an orbital-energy change, confirmed for the immediate two-body case. The modeled configuration fails our preset 3U mass criterion, and its side-fed reference geometry fails a CAD packaging check. Gen5 is a finished research result with recorded failures, not a selected flight configuration.</w:t>
      </w:r>
      <w:r>
        <w:t xml:space="preserve">”</w:t>
      </w:r>
      <w:r>
        <w:t xml:space="preserve"> </w:t>
      </w:r>
      <w:r>
        <w:t xml:space="preserve">Future work follows separately.</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2026-10-09T08:36:37Z</dcterms:created>
  <dcterms:modified xsi:type="dcterms:W3CDTF">2026-10-09T08:36:37Z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