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5.png" ContentType="image/png"/>
  <Override PartName="/word/media/rId53.png" ContentType="image/png"/>
  <Override PartName="/word/media/rId24.png" ContentType="image/png"/>
  <Override PartName="/word/media/rId32.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Final</w:t>
      </w:r>
      <w:r>
        <w:t xml:space="preserve"> </w:t>
      </w:r>
      <w:r>
        <w:t xml:space="preserve">B.Tech</w:t>
      </w:r>
      <w:r>
        <w:t xml:space="preserve"> </w:t>
      </w:r>
      <w:r>
        <w:t xml:space="preserve">Project</w:t>
      </w:r>
      <w:r>
        <w:t xml:space="preserve"> </w:t>
      </w:r>
      <w:r>
        <w:t xml:space="preserve">Review</w:t>
      </w:r>
    </w:p>
    <w:p>
      <w:pPr>
        <w:pStyle w:val="Subtitle"/>
      </w:pPr>
      <w:r>
        <w:t xml:space="preserve">Panel</w:t>
      </w:r>
      <w:r>
        <w:t xml:space="preserve"> </w:t>
      </w:r>
      <w:r>
        <w:t xml:space="preserve">handbook:</w:t>
      </w:r>
      <w:r>
        <w:t xml:space="preserve"> </w:t>
      </w:r>
      <w:r>
        <w:t xml:space="preserve">completed</w:t>
      </w:r>
      <w:r>
        <w:t xml:space="preserve"> </w:t>
      </w:r>
      <w:r>
        <w:t xml:space="preserve">Gen5</w:t>
      </w:r>
      <w:r>
        <w:t xml:space="preserve"> </w:t>
      </w:r>
      <w:r>
        <w:t xml:space="preserve">study,</w:t>
      </w:r>
      <w:r>
        <w:t xml:space="preserve"> </w:t>
      </w:r>
      <w:r>
        <w:t xml:space="preserve">findings,</w:t>
      </w:r>
      <w:r>
        <w:t xml:space="preserve"> </w:t>
      </w:r>
      <w:r>
        <w:t xml:space="preserve">and</w:t>
      </w:r>
      <w:r>
        <w:t xml:space="preserve"> </w:t>
      </w:r>
      <w:r>
        <w:t xml:space="preserve">future</w:t>
      </w:r>
      <w:r>
        <w:t xml:space="preserve"> </w:t>
      </w:r>
      <w:r>
        <w:t xml:space="preserve">direction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Department:</w:t>
      </w:r>
      <w:r>
        <w:t xml:space="preserve"> </w:t>
      </w:r>
      <w:r>
        <w:t xml:space="preserve">Mechanical Engineering, Symbiosis Institute of Technology</w:t>
      </w:r>
      <w:r>
        <w:t xml:space="preserve"> </w:t>
      </w:r>
      <w:r>
        <w:rPr>
          <w:b/>
          <w:bCs/>
        </w:rPr>
        <w:t xml:space="preserve">Review type:</w:t>
      </w:r>
      <w:r>
        <w:t xml:space="preserve"> </w:t>
      </w:r>
      <w:r>
        <w:t xml:space="preserve">Final Project Presentation &amp; Demonstration</w:t>
      </w:r>
    </w:p>
    <w:p>
      <w:pPr>
        <w:pStyle w:val="BlockText"/>
      </w:pPr>
      <w:r>
        <w:rPr>
          <w:b/>
          <w:bCs/>
        </w:rPr>
        <w:t xml:space="preserve">Scope of the completed thesis.</w:t>
      </w:r>
      <w:r>
        <w:t xml:space="preserve"> </w:t>
      </w:r>
      <w:r>
        <w:t xml:space="preserve">VOLLEY is a system-level engineering design and computational research project. The Gen5 analysis, comparisons and decision record are complete for the stated models. The results are predictions, with numerical cross-checks where identified. Physical prototype testing, CubeSat qualification and provider accommodation belong to a later development phase. Gen6 is presented separately as future work.</w:t>
      </w:r>
    </w:p>
    <w:p>
      <w:pPr>
        <w:pStyle w:val="CaptionedFigure"/>
      </w:pPr>
      <w:r>
        <w:drawing>
          <wp:inline>
            <wp:extent cx="4693920" cy="2933700"/>
            <wp:effectExtent b="0" l="0" r="0" t="0"/>
            <wp:docPr descr="Analysed Gen5 electromagnetic deployer configuration. CAD render; no physical article exists." title="" id="21" name="Picture"/>
            <a:graphic>
              <a:graphicData uri="http://schemas.openxmlformats.org/drawingml/2006/picture">
                <pic:pic>
                  <pic:nvPicPr>
                    <pic:cNvPr descr="../../cad/renders/gen5/exploded.png" id="22" name="Picture"/>
                    <pic:cNvPicPr>
                      <a:picLocks noChangeArrowheads="1" noChangeAspect="1"/>
                    </pic:cNvPicPr>
                  </pic:nvPicPr>
                  <pic:blipFill>
                    <a:blip r:embed="rId20"/>
                    <a:stretch>
                      <a:fillRect/>
                    </a:stretch>
                  </pic:blipFill>
                  <pic:spPr bwMode="auto">
                    <a:xfrm>
                      <a:off x="0" y="0"/>
                      <a:ext cx="4693920" cy="2933700"/>
                    </a:xfrm>
                    <a:prstGeom prst="rect">
                      <a:avLst/>
                    </a:prstGeom>
                    <a:noFill/>
                    <a:ln w="9525">
                      <a:noFill/>
                      <a:headEnd/>
                      <a:tailEnd/>
                    </a:ln>
                  </pic:spPr>
                </pic:pic>
              </a:graphicData>
            </a:graphic>
          </wp:inline>
        </w:drawing>
      </w:r>
    </w:p>
    <w:p>
      <w:pPr>
        <w:pStyle w:val="ImageCaption"/>
      </w:pPr>
      <w:r>
        <w:t xml:space="preserve">Analysed Gen5 electromagnetic deployer configuration. CAD render; no physical article exists.</w:t>
      </w:r>
    </w:p>
    <w:bookmarkStart w:id="23" w:name="executive-summary"/>
    <w:p>
      <w:pPr>
        <w:pStyle w:val="Heading1"/>
      </w:pPr>
      <w:r>
        <w:t xml:space="preserve">Executive summary</w:t>
      </w:r>
    </w:p>
    <w:p>
      <w:pPr>
        <w:pStyle w:val="FirstParagraph"/>
      </w:pPr>
      <w:r>
        <w:t xml:space="preserve">VOLLEY investigates a last-mile problem in rideshare launches: a secondary CubeSat reaches orbit but ordinarily receives the orbit selected for the primary payload. A spring deployer separates it safely, often at roughly 1–2 m/s, and the deployment time can change its in-track phase. A larger, deliberately commanded release velocity can also change orbital energy. The thesis evaluates whether that added capability justifies a complete deployer system. The mission model splits responsibilities between a maneuvering host, which performs coarse repositioning, and a deployer, which supplies each satellite’s commanded release condition.</w:t>
      </w:r>
    </w:p>
    <w:p>
      <w:pPr>
        <w:pStyle w:val="BodyText"/>
      </w:pPr>
      <w:r>
        <w:t xml:space="preserve">The authored thesis analyses one Gen5 solution: a magazine-fed, linear synchronous motor driving a reusable magnetic sled. The rated 3U model predicts</w:t>
      </w:r>
      <w:r>
        <w:t xml:space="preserve"> </w:t>
      </w:r>
      <w:r>
        <w:rPr>
          <w:b/>
          <w:bCs/>
        </w:rPr>
        <w:t xml:space="preserve">16.0 m/s</w:t>
      </w:r>
      <w:r>
        <w:t xml:space="preserve"> </w:t>
      </w:r>
      <w:r>
        <w:t xml:space="preserve">exit speed at</w:t>
      </w:r>
      <w:r>
        <w:t xml:space="preserve"> </w:t>
      </w:r>
      <w:r>
        <w:rPr>
          <w:b/>
          <w:bCs/>
        </w:rPr>
        <w:t xml:space="preserve">10.07 g</w:t>
      </w:r>
      <w:r>
        <w:t xml:space="preserve">. Its full dry system mass is</w:t>
      </w:r>
      <w:r>
        <w:t xml:space="preserve"> </w:t>
      </w:r>
      <w:r>
        <w:rPr>
          <w:b/>
          <w:bCs/>
        </w:rPr>
        <w:t xml:space="preserve">126.6 kg</w:t>
      </w:r>
      <w:r>
        <w:t xml:space="preserve">, and the power model predicts</w:t>
      </w:r>
      <w:r>
        <w:t xml:space="preserve"> </w:t>
      </w:r>
      <w:r>
        <w:rPr>
          <w:b/>
          <w:bCs/>
        </w:rPr>
        <w:t xml:space="preserve">2.782 kJ</w:t>
      </w:r>
      <w:r>
        <w:t xml:space="preserve"> </w:t>
      </w:r>
      <w:r>
        <w:t xml:space="preserve">gross electrical draw per shot. A closed-loop simulation predicts</w:t>
      </w:r>
      <w:r>
        <w:t xml:space="preserve"> </w:t>
      </w:r>
      <w:r>
        <w:rPr>
          <w:b/>
          <w:bCs/>
        </w:rPr>
        <w:t xml:space="preserve">0.0274 m/s (</w:t>
      </w:r>
      <m:oMath>
        <m:r>
          <m:t>3</m:t>
        </m:r>
        <m:r>
          <m:t>σ</m:t>
        </m:r>
      </m:oMath>
      <w:r>
        <w:rPr>
          <w:b/>
          <w:bCs/>
        </w:rPr>
        <w:t xml:space="preserve">)</w:t>
      </w:r>
      <w:r>
        <w:t xml:space="preserve"> </w:t>
      </w:r>
      <w:r>
        <w:t xml:space="preserve">exit-speed dispersion at a 15.8 m/s setpoint. In a stated orbital case, a maximum-speed release raises semi-major axis by</w:t>
      </w:r>
      <w:r>
        <w:t xml:space="preserve"> </w:t>
      </w:r>
      <w:r>
        <w:rPr>
          <w:b/>
          <w:bCs/>
        </w:rPr>
        <w:t xml:space="preserve">28.8 km</w:t>
      </w:r>
      <w:r>
        <w:t xml:space="preserve">, with a</w:t>
      </w:r>
      <w:r>
        <w:t xml:space="preserve"> </w:t>
      </w:r>
      <w:r>
        <w:rPr>
          <w:b/>
          <w:bCs/>
        </w:rPr>
        <w:t xml:space="preserve">1.60×</w:t>
      </w:r>
      <w:r>
        <w:t xml:space="preserve"> </w:t>
      </w:r>
      <w:r>
        <w:t xml:space="preserve">modelled lifetime multiplier at mean solar activity. The lifetime result is atmosphere-sensitive and has not been independently rerun at the exact current operating point.</w:t>
      </w:r>
    </w:p>
    <w:p>
      <w:pPr>
        <w:pStyle w:val="BodyText"/>
      </w:pPr>
      <w:r>
        <w:t xml:space="preserve">Gen5 also produced a decisive negative result. With twelve 3U satellites, its deployer mass is</w:t>
      </w:r>
      <w:r>
        <w:t xml:space="preserve"> </w:t>
      </w:r>
      <w:r>
        <w:rPr>
          <w:b/>
          <w:bCs/>
        </w:rPr>
        <w:t xml:space="preserve">10.55 kg per customer</w:t>
      </w:r>
      <w:r>
        <w:t xml:space="preserve">, versus about</w:t>
      </w:r>
      <w:r>
        <w:t xml:space="preserve"> </w:t>
      </w:r>
      <w:r>
        <w:rPr>
          <w:b/>
          <w:bCs/>
        </w:rPr>
        <w:t xml:space="preserve">6 kg</w:t>
      </w:r>
      <w:r>
        <w:t xml:space="preserve"> </w:t>
      </w:r>
      <w:r>
        <w:t xml:space="preserve">for the spring canister comparator used in the thesis. This is</w:t>
      </w:r>
      <w:r>
        <w:t xml:space="preserve"> </w:t>
      </w:r>
      <w:r>
        <w:rPr>
          <w:b/>
          <w:bCs/>
        </w:rPr>
        <w:t xml:space="preserve">1.76×</w:t>
      </w:r>
      <w:r>
        <w:t xml:space="preserve"> </w:t>
      </w:r>
      <w:r>
        <w:t xml:space="preserve">as much hardware per 3U payload and fails the preset 15% mass-parity band. The study therefore reaches a decision: the modelled orbital benefit does not make this Gen5 configuration a defensible 3U selection. The result completes the analytical comparison; it does not require a prototype to know that the modelled mass criterion failed. Physical payload loads, magnetic cleanliness, cycle life, and provider interfaces remain questions for a different evidence phase.</w:t>
      </w:r>
    </w:p>
    <w:p>
      <w:pPr>
        <w:pStyle w:val="BodyText"/>
      </w:pPr>
      <w:r>
        <w:t xml:space="preserve">The later Gen6 programme retains the hosted sequential-deployment mission while reopening mechanism choice. It investigates an approximately</w:t>
      </w:r>
      <w:r>
        <w:t xml:space="preserve"> </w:t>
      </w:r>
      <w:r>
        <w:rPr>
          <w:b/>
          <w:bCs/>
        </w:rPr>
        <w:t xml:space="preserve">1–2 m/s to 1 km/s</w:t>
      </w:r>
      <w:r>
        <w:t xml:space="preserve"> </w:t>
      </w:r>
      <w:r>
        <w:t xml:space="preserve">release-speed envelope across electromagnetic, mechanical, stored-energy, gas/fluid, hybrid, BOLLEY and conventional options. The high end is a requirement to examine and may prove infeasible. The near-term goal is one named, reproducible, independently reviewable test-article configuration with a corresponding build/test release decision.</w:t>
      </w:r>
    </w:p>
    <w:bookmarkEnd w:id="23"/>
    <w:bookmarkStart w:id="28" w:name="introduction"/>
    <w:p>
      <w:pPr>
        <w:pStyle w:val="Heading1"/>
      </w:pPr>
      <w:r>
        <w:t xml:space="preserve">1. Introduction</w:t>
      </w:r>
    </w:p>
    <w:bookmarkStart w:id="27" w:name="the-deployment-problem"/>
    <w:p>
      <w:pPr>
        <w:pStyle w:val="Heading2"/>
      </w:pPr>
      <w:r>
        <w:t xml:space="preserve">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release energy</w:t>
      </w:r>
      <w:r>
        <w:t xml:space="preserve"> </w:t>
      </w:r>
      <w:r>
        <w:t xml:space="preserve">is central. Waiting between launches can produce in-track phase spacing without spending a larger release impulse. A commanded velocity along or against orbital motion can change the satellite’s orbital energy and semi-major axis. VOLLEY studies the latter capability while retaining a clear comparison with timed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p>
      <w:pPr>
        <w:pStyle w:val="CaptionedFigure"/>
      </w:pPr>
      <w:r>
        <w:drawing>
          <wp:inline>
            <wp:extent cx="5334000" cy="2669996"/>
            <wp:effectExtent b="0" l="0" r="0" t="0"/>
            <wp:docPr descr="Gen5 layout and mission hardware elements. Diagram from the thesis analysis." title="" id="25" name="Picture"/>
            <a:graphic>
              <a:graphicData uri="http://schemas.openxmlformats.org/drawingml/2006/picture">
                <pic:pic>
                  <pic:nvPicPr>
                    <pic:cNvPr descr="../../source/figures/D02_layout.png" id="26" name="Picture"/>
                    <pic:cNvPicPr>
                      <a:picLocks noChangeArrowheads="1" noChangeAspect="1"/>
                    </pic:cNvPicPr>
                  </pic:nvPicPr>
                  <pic:blipFill>
                    <a:blip r:embed="rId24"/>
                    <a:stretch>
                      <a:fillRect/>
                    </a:stretch>
                  </pic:blipFill>
                  <pic:spPr bwMode="auto">
                    <a:xfrm>
                      <a:off x="0" y="0"/>
                      <a:ext cx="5334000" cy="2669996"/>
                    </a:xfrm>
                    <a:prstGeom prst="rect">
                      <a:avLst/>
                    </a:prstGeom>
                    <a:noFill/>
                    <a:ln w="9525">
                      <a:noFill/>
                      <a:headEnd/>
                      <a:tailEnd/>
                    </a:ln>
                  </pic:spPr>
                </pic:pic>
              </a:graphicData>
            </a:graphic>
          </wp:inline>
        </w:drawing>
      </w:r>
    </w:p>
    <w:p>
      <w:pPr>
        <w:pStyle w:val="ImageCaption"/>
      </w:pPr>
      <w:r>
        <w:t xml:space="preserve">Gen5 layout and mission hardware elements. Diagram from the thesis analysis.</w:t>
      </w:r>
    </w:p>
    <w:bookmarkEnd w:id="27"/>
    <w:bookmarkEnd w:id="28"/>
    <w:bookmarkStart w:id="29" w:name="literature-review"/>
    <w:p>
      <w:pPr>
        <w:pStyle w:val="Heading1"/>
      </w:pPr>
      <w:r>
        <w:t xml:space="preserve">2. Literature review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Timed release and differential drag</w:t>
            </w:r>
          </w:p>
        </w:tc>
        <w:tc>
          <w:tcPr/>
          <w:p>
            <w:pPr>
              <w:pStyle w:val="Compact"/>
              <w:jc w:val="left"/>
            </w:pPr>
            <w:r>
              <w:t xml:space="preserve">In-track spacing and gradual orbital adjustment [3]</w:t>
            </w:r>
          </w:p>
        </w:tc>
        <w:tc>
          <w:tcPr/>
          <w:p>
            <w:pPr>
              <w:pStyle w:val="Compact"/>
              <w:jc w:val="left"/>
            </w:pPr>
            <w:r>
              <w:t xml:space="preserve">Timing alone can phase satellites; drag is atmosphere- and attitude-dependent.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The most relevant high-speed electromagnetic comparison in the manuscript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End w:id="29"/>
    <w:bookmarkStart w:id="30" w:name="research-gap"/>
    <w:p>
      <w:pPr>
        <w:pStyle w:val="Heading1"/>
      </w:pPr>
      <w:r>
        <w:t xml:space="preserve">3. Research gap</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complete Gen5 computational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30"/>
    <w:bookmarkStart w:id="31" w:name="objectives-and-outcome"/>
    <w:p>
      <w:pPr>
        <w:pStyle w:val="Heading1"/>
      </w:pPr>
      <w:r>
        <w:t xml:space="preserve">4. Objectives and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Gen5 CAD, magazine, sled, motor, arrest and power architecture</w:t>
            </w:r>
          </w:p>
        </w:tc>
        <w:tc>
          <w:tcPr/>
          <w:p>
            <w:pPr>
              <w:pStyle w:val="Compact"/>
              <w:jc w:val="left"/>
            </w:pPr>
            <w:r>
              <w:t xml:space="preserve">System-level design record, not manufactured hardware</w:t>
            </w:r>
          </w:p>
        </w:tc>
      </w:tr>
      <w:tr>
        <w:tc>
          <w:tcPr/>
          <w:p>
            <w:pPr>
              <w:pStyle w:val="Compact"/>
              <w:jc w:val="left"/>
            </w:pPr>
            <w:r>
              <w:t xml:space="preserve">Quantify the release</w:t>
            </w:r>
          </w:p>
        </w:tc>
        <w:tc>
          <w:tcPr/>
          <w:p>
            <w:pPr>
              <w:pStyle w:val="Compact"/>
              <w:jc w:val="left"/>
            </w:pPr>
            <w:r>
              <w:t xml:space="preserve">Rated shot, circuit and closed-loop simulations</w:t>
            </w:r>
          </w:p>
        </w:tc>
        <w:tc>
          <w:tcPr/>
          <w:p>
            <w:pPr>
              <w:pStyle w:val="Compact"/>
              <w:jc w:val="left"/>
            </w:pPr>
            <w:r>
              <w:t xml:space="preserve">Predicted performance under stated assumptions</w:t>
            </w:r>
          </w:p>
        </w:tc>
      </w:tr>
      <w:tr>
        <w:tc>
          <w:tcPr/>
          <w:p>
            <w:pPr>
              <w:pStyle w:val="Compact"/>
              <w:jc w:val="left"/>
            </w:pPr>
            <w:r>
              <w:t xml:space="preserve">Evaluate orbital value</w:t>
            </w:r>
          </w:p>
        </w:tc>
        <w:tc>
          <w:tcPr/>
          <w:p>
            <w:pPr>
              <w:pStyle w:val="Compact"/>
              <w:jc w:val="left"/>
            </w:pPr>
            <w:r>
              <w:t xml:space="preserve">Orbit model and selected independent numerical cross-checks</w:t>
            </w:r>
          </w:p>
        </w:tc>
        <w:tc>
          <w:tcPr/>
          <w:p>
            <w:pPr>
              <w:pStyle w:val="Compact"/>
              <w:jc w:val="left"/>
            </w:pPr>
            <w:r>
              <w:t xml:space="preserve">Conditional energy and lifetime benefit</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These objectives summarize the completed analytical research for this final-review presentation. They are a presentation synthesis, not a claim that the university approved this exact list in advance. The physical development tasks are shown later under future work.</w:t>
      </w:r>
    </w:p>
    <w:bookmarkEnd w:id="31"/>
    <w:bookmarkStart w:id="39" w:name="research-methodology"/>
    <w:p>
      <w:pPr>
        <w:pStyle w:val="Heading1"/>
      </w:pPr>
      <w:r>
        <w:t xml:space="preserve">5. Research methodology</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p>
      <w:pPr>
        <w:pStyle w:val="CaptionedFigure"/>
      </w:pPr>
      <w:r>
        <w:drawing>
          <wp:inline>
            <wp:extent cx="5334000" cy="2028422"/>
            <wp:effectExtent b="0" l="0" r="0" t="0"/>
            <wp:docPr descr="Modelled shot: velocity, bank voltage and current at the rated point." title="" id="33" name="Picture"/>
            <a:graphic>
              <a:graphicData uri="http://schemas.openxmlformats.org/drawingml/2006/picture">
                <pic:pic>
                  <pic:nvPicPr>
                    <pic:cNvPr descr="../../source/figures/F01_shot.png" id="34" name="Picture"/>
                    <pic:cNvPicPr>
                      <a:picLocks noChangeArrowheads="1" noChangeAspect="1"/>
                    </pic:cNvPicPr>
                  </pic:nvPicPr>
                  <pic:blipFill>
                    <a:blip r:embed="rId32"/>
                    <a:stretch>
                      <a:fillRect/>
                    </a:stretch>
                  </pic:blipFill>
                  <pic:spPr bwMode="auto">
                    <a:xfrm>
                      <a:off x="0" y="0"/>
                      <a:ext cx="5334000" cy="2028422"/>
                    </a:xfrm>
                    <a:prstGeom prst="rect">
                      <a:avLst/>
                    </a:prstGeom>
                    <a:noFill/>
                    <a:ln w="9525">
                      <a:noFill/>
                      <a:headEnd/>
                      <a:tailEnd/>
                    </a:ln>
                  </pic:spPr>
                </pic:pic>
              </a:graphicData>
            </a:graphic>
          </wp:inline>
        </w:drawing>
      </w:r>
    </w:p>
    <w:p>
      <w:pPr>
        <w:pStyle w:val="ImageCaption"/>
      </w:pPr>
      <w:r>
        <w:t xml:space="preserve">Modelled shot: velocity, bank voltage and current at the rated point.</w:t>
      </w:r>
    </w:p>
    <w:bookmarkStart w:id="38" w:name="numerical-checks-and-their-limits"/>
    <w:p>
      <w:pPr>
        <w:pStyle w:val="Heading2"/>
      </w:pPr>
      <w:r>
        <w:t xml:space="preserve">Numerical checks and their limits</w:t>
      </w:r>
    </w:p>
    <w:p>
      <w:pPr>
        <w:pStyle w:val="FirstParagraph"/>
      </w:pPr>
      <w:r>
        <w:t xml:space="preserve">The magnetic field was compared across an analytical representation, magpylib, and 2-D/3-D finite-element calculations. A 3-D midgap solve supports the field model at its tested location but does not independently measure the depth-integrated thrust constant.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427220" cy="1990820"/>
            <wp:effectExtent b="0" l="0" r="0" t="0"/>
            <wp:docPr descr="Representative magnetic-field model output. Source: thesis figure A02." title="" id="36" name="Picture"/>
            <a:graphic>
              <a:graphicData uri="http://schemas.openxmlformats.org/drawingml/2006/picture">
                <pic:pic>
                  <pic:nvPicPr>
                    <pic:cNvPr descr="../../source/figures/A02_field_map.png" id="37" name="Picture"/>
                    <pic:cNvPicPr>
                      <a:picLocks noChangeArrowheads="1" noChangeAspect="1"/>
                    </pic:cNvPicPr>
                  </pic:nvPicPr>
                  <pic:blipFill>
                    <a:blip r:embed="rId35"/>
                    <a:stretch>
                      <a:fillRect/>
                    </a:stretch>
                  </pic:blipFill>
                  <pic:spPr bwMode="auto">
                    <a:xfrm>
                      <a:off x="0" y="0"/>
                      <a:ext cx="4427220" cy="1990820"/>
                    </a:xfrm>
                    <a:prstGeom prst="rect">
                      <a:avLst/>
                    </a:prstGeom>
                    <a:noFill/>
                    <a:ln w="9525">
                      <a:noFill/>
                      <a:headEnd/>
                      <a:tailEnd/>
                    </a:ln>
                  </pic:spPr>
                </pic:pic>
              </a:graphicData>
            </a:graphic>
          </wp:inline>
        </w:drawing>
      </w:r>
    </w:p>
    <w:p>
      <w:pPr>
        <w:pStyle w:val="ImageCaption"/>
      </w:pPr>
      <w:r>
        <w:t xml:space="preserve">Representative magnetic-field model output. Source: thesis figure A02.</w:t>
      </w:r>
    </w:p>
    <w:bookmarkEnd w:id="38"/>
    <w:bookmarkEnd w:id="39"/>
    <w:bookmarkStart w:id="41" w:name="timeline"/>
    <w:p>
      <w:pPr>
        <w:pStyle w:val="Heading1"/>
      </w:pPr>
      <w:r>
        <w:t xml:space="preserve">6. Timeline</w:t>
      </w:r>
    </w:p>
    <w:bookmarkStart w:id="40" w:name="documented-evolution"/>
    <w:p>
      <w:pPr>
        <w:pStyle w:val="Heading2"/>
      </w:pPr>
      <w:r>
        <w:t xml:space="preserve">Documented evolution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presented for final review</w:t>
            </w:r>
          </w:p>
        </w:tc>
        <w:tc>
          <w:tcPr/>
          <w:p>
            <w:pPr>
              <w:pStyle w:val="Compact"/>
              <w:jc w:val="left"/>
            </w:pPr>
            <w:r>
              <w:t xml:space="preserve">Review package dated 10 October 2026</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completed study, not signs that the final numbers are placeholders. Gen6 research gates are described only in §10, Future work.</w:t>
      </w:r>
    </w:p>
    <w:bookmarkEnd w:id="40"/>
    <w:bookmarkEnd w:id="41"/>
    <w:bookmarkStart w:id="42" w:name="work-progress"/>
    <w:p>
      <w:pPr>
        <w:pStyle w:val="Heading1"/>
      </w:pPr>
      <w:r>
        <w:t xml:space="preserve">7. Work progress</w:t>
      </w:r>
    </w:p>
    <w:p>
      <w:pPr>
        <w:pStyle w:val="FirstParagraph"/>
      </w:pPr>
      <w:r>
        <w:t xml:space="preserve">The thesis deliverables are in hand: an authored manuscript, CAD renders and model geometry, analysis scripts/results, numerical verification run sheets, figures, a baseline record, a defect register, and a provenance statement. Numerical investigations cover the motor field, shot dynamics, bank/circuit, mass, orbit propagation, separation and selected structural, airflow and reliability issues. The study closes by retaining failed criteria and superseded results rather than silently replacing them.</w:t>
      </w:r>
    </w:p>
    <w:p>
      <w:pPr>
        <w:pStyle w:val="BodyText"/>
      </w:pPr>
      <w:r>
        <w:t xml:space="preserve">The deliverable here is a completed computational thesis, not a flight article. The later long gas-guide and independent spring-cell studies are historical comparators. Gen6 has a mission direction and investigation envelope but is not a result of the Gen5 thesis. Its mechanism and exact payload/provider cases remain future choices.</w:t>
      </w:r>
    </w:p>
    <w:bookmarkEnd w:id="42"/>
    <w:bookmarkStart w:id="58" w:name="results"/>
    <w:p>
      <w:pPr>
        <w:pStyle w:val="Heading1"/>
      </w:pPr>
      <w:r>
        <w:t xml:space="preserve">8. Results</w:t>
      </w:r>
    </w:p>
    <w:bookmarkStart w:id="43" w:name="gen5-configuration"/>
    <w:p>
      <w:pPr>
        <w:pStyle w:val="Heading2"/>
      </w:pPr>
      <w:r>
        <w:t xml:space="preserve">Gen5 configuration</w:t>
      </w:r>
    </w:p>
    <w:p>
      <w:pPr>
        <w:pStyle w:val="FirstParagraph"/>
      </w:pPr>
      <w:r>
        <w:t xml:space="preserve">The analysed system uses a double-sided Halbach-array linear synchronous motor to propel a reusable permanent-magnet sled along a 1.5 m track. Two transverse cassettes feed twelve 3U satellites. A capacitor-based bank supplies the pulse, and a brake arrests the sled after payload release. The sled mass, computed from detailed CAD solid volumes, is</w:t>
      </w:r>
      <w:r>
        <w:t xml:space="preserve"> </w:t>
      </w:r>
      <w:r>
        <w:rPr>
          <w:b/>
          <w:bCs/>
        </w:rPr>
        <w:t xml:space="preserve">9.45 kg</w:t>
      </w:r>
      <w:r>
        <w:t xml:space="preserve">; this value reduced the exit speed relative to an earlier optimistic parametric estimate. The CAD render conveys the arrangement; it is not evidence that parts have been manufactured or assembled.</w:t>
      </w:r>
    </w:p>
    <w:bookmarkEnd w:id="43"/>
    <w:bookmarkStart w:id="44" w:name="rated-3u-shot"/>
    <w:p>
      <w:pPr>
        <w:pStyle w:val="Heading2"/>
      </w:pPr>
      <w:r>
        <w:t xml:space="preserve">Rated 3U shot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Rated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Modelled 3U reference shot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the price of keeping the customer satellite unmodified. Regeneration returns only a small fraction of sled energy within the available length, so the contactless brake remains necessary. A design comparison that credits full sled recovery would misstate the system efficiency and installed burden.</w:t>
      </w:r>
    </w:p>
    <w:bookmarkEnd w:id="44"/>
    <w:bookmarkStart w:id="48" w:name="command-precision"/>
    <w:p>
      <w:pPr>
        <w:pStyle w:val="Heading2"/>
      </w:pPr>
      <w:r>
        <w:t xml:space="preserve">Command precision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46" name="Picture"/>
            <a:graphic>
              <a:graphicData uri="http://schemas.openxmlformats.org/drawingml/2006/picture">
                <pic:pic>
                  <pic:nvPicPr>
                    <pic:cNvPr descr="../../source/figures/F03_mc.png" id="47" name="Picture"/>
                    <pic:cNvPicPr>
                      <a:picLocks noChangeArrowheads="1" noChangeAspect="1"/>
                    </pic:cNvPicPr>
                  </pic:nvPicPr>
                  <pic:blipFill>
                    <a:blip r:embed="rId45"/>
                    <a:stretch>
                      <a:fillRect/>
                    </a:stretch>
                  </pic:blipFill>
                  <pic:spPr bwMode="auto">
                    <a:xfrm>
                      <a:off x="0" y="0"/>
                      <a:ext cx="3886964" cy="2792131"/>
                    </a:xfrm>
                    <a:prstGeom prst="rect">
                      <a:avLst/>
                    </a:prstGeom>
                    <a:noFill/>
                    <a:ln w="9525">
                      <a:noFill/>
                      <a:headEnd/>
                      <a:tailEnd/>
                    </a:ln>
                  </pic:spPr>
                </pic:pic>
              </a:graphicData>
            </a:graphic>
          </wp:inline>
        </w:drawing>
      </w:r>
    </w:p>
    <w:p>
      <w:pPr>
        <w:pStyle w:val="ImageCaption"/>
      </w:pPr>
      <w:r>
        <w:t xml:space="preserve">Closed-loop simulation distribution at the fleet setpoint.</w:t>
      </w:r>
    </w:p>
    <w:bookmarkEnd w:id="48"/>
    <w:bookmarkStart w:id="52" w:name="orbital-utility"/>
    <w:p>
      <w:pPr>
        <w:pStyle w:val="Heading2"/>
      </w:pPr>
      <w:r>
        <w:t xml:space="preserve">Orbital utility</w:t>
      </w:r>
    </w:p>
    <w:p>
      <w:pPr>
        <w:pStyle w:val="FirstParagraph"/>
      </w:pPr>
      <w:r>
        <w:t xml:space="preserve">For the stated orbit and mean-solar-activity case, one maximum-speed release 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The more defensible message is conditional: a release impulse can change orbital energy, while absolute lifetime and lifetime gain depend on atmospheric density and the orbit model. A fresh independent run of the exact current 1.60 operating point remains outstanding. Timing alone can produce in-track phasing; it does not produce the same semi-major-axis change.</w:t>
      </w:r>
    </w:p>
    <w:p>
      <w:pPr>
        <w:pStyle w:val="CaptionedFigure"/>
      </w:pPr>
      <w:r>
        <w:drawing>
          <wp:inline>
            <wp:extent cx="4382391" cy="2697327"/>
            <wp:effectExtent b="0" l="0" r="0" t="0"/>
            <wp:docPr descr="Modelled orbital-lifetime response. Absolute values depend on atmosphere." title="" id="50" name="Picture"/>
            <a:graphic>
              <a:graphicData uri="http://schemas.openxmlformats.org/drawingml/2006/picture">
                <pic:pic>
                  <pic:nvPicPr>
                    <pic:cNvPr descr="../../source/figures/F04_life.png" id="51" name="Picture"/>
                    <pic:cNvPicPr>
                      <a:picLocks noChangeArrowheads="1" noChangeAspect="1"/>
                    </pic:cNvPicPr>
                  </pic:nvPicPr>
                  <pic:blipFill>
                    <a:blip r:embed="rId49"/>
                    <a:stretch>
                      <a:fillRect/>
                    </a:stretch>
                  </pic:blipFill>
                  <pic:spPr bwMode="auto">
                    <a:xfrm>
                      <a:off x="0" y="0"/>
                      <a:ext cx="4382391" cy="2697327"/>
                    </a:xfrm>
                    <a:prstGeom prst="rect">
                      <a:avLst/>
                    </a:prstGeom>
                    <a:noFill/>
                    <a:ln w="9525">
                      <a:noFill/>
                      <a:headEnd/>
                      <a:tailEnd/>
                    </a:ln>
                  </pic:spPr>
                </pic:pic>
              </a:graphicData>
            </a:graphic>
          </wp:inline>
        </w:drawing>
      </w:r>
    </w:p>
    <w:p>
      <w:pPr>
        <w:pStyle w:val="ImageCaption"/>
      </w:pPr>
      <w:r>
        <w:t xml:space="preserve">Modelled orbital-lifetime response. Absolute values depend on atmosphere.</w:t>
      </w:r>
    </w:p>
    <w:bookmarkEnd w:id="52"/>
    <w:bookmarkStart w:id="56" w:name="installed-mass-changes-the-decision"/>
    <w:p>
      <w:pPr>
        <w:pStyle w:val="Heading2"/>
      </w:pPr>
      <w:r>
        <w:t xml:space="preserve">Installed mass changes the decision</w:t>
      </w:r>
    </w:p>
    <w:p>
      <w:pPr>
        <w:pStyle w:val="FirstParagraph"/>
      </w:pPr>
      <w:r>
        <w:t xml:space="preserve">The dry Gen5 rollup is</w:t>
      </w:r>
      <w:r>
        <w:t xml:space="preserve"> </w:t>
      </w:r>
      <w:r>
        <w:rPr>
          <w:b/>
          <w:bCs/>
        </w:rPr>
        <w:t xml:space="preserve">126.6 kg</w:t>
      </w:r>
      <w:r>
        <w:t xml:space="preserve"> </w:t>
      </w:r>
      <w:r>
        <w:t xml:space="preserve">and loaded mass</w:t>
      </w:r>
      <w:r>
        <w:t xml:space="preserve"> </w:t>
      </w:r>
      <w:r>
        <w:rPr>
          <w:b/>
          <w:bCs/>
        </w:rPr>
        <w:t xml:space="preserve">174.6 kg</w:t>
      </w:r>
      <w:r>
        <w:t xml:space="preserve">.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334000" cy="1915167"/>
            <wp:effectExtent b="0" l="0" r="0" t="0"/>
            <wp:docPr descr="Constraint and mass-attribution analysis; mass is a model rollup." title="" id="54" name="Picture"/>
            <a:graphic>
              <a:graphicData uri="http://schemas.openxmlformats.org/drawingml/2006/picture">
                <pic:pic>
                  <pic:nvPicPr>
                    <pic:cNvPr descr="../../source/figures/A35_ledger.png" id="55" name="Picture"/>
                    <pic:cNvPicPr>
                      <a:picLocks noChangeArrowheads="1" noChangeAspect="1"/>
                    </pic:cNvPicPr>
                  </pic:nvPicPr>
                  <pic:blipFill>
                    <a:blip r:embed="rId53"/>
                    <a:stretch>
                      <a:fillRect/>
                    </a:stretch>
                  </pic:blipFill>
                  <pic:spPr bwMode="auto">
                    <a:xfrm>
                      <a:off x="0" y="0"/>
                      <a:ext cx="5334000" cy="1915167"/>
                    </a:xfrm>
                    <a:prstGeom prst="rect">
                      <a:avLst/>
                    </a:prstGeom>
                    <a:noFill/>
                    <a:ln w="9525">
                      <a:noFill/>
                      <a:headEnd/>
                      <a:tailEnd/>
                    </a:ln>
                  </pic:spPr>
                </pic:pic>
              </a:graphicData>
            </a:graphic>
          </wp:inline>
        </w:drawing>
      </w:r>
    </w:p>
    <w:p>
      <w:pPr>
        <w:pStyle w:val="ImageCaption"/>
      </w:pPr>
      <w:r>
        <w:t xml:space="preserve">Constraint and mass-attribution analysis; mass is a model rollup.</w:t>
      </w:r>
    </w:p>
    <w:bookmarkEnd w:id="56"/>
    <w:bookmarkStart w:id="57" w:name="decision-and-evidence-boundary"/>
    <w:p>
      <w:pPr>
        <w:pStyle w:val="Heading2"/>
      </w:pPr>
      <w:r>
        <w:t xml:space="preserve">Decision and evidence boundary</w:t>
      </w:r>
    </w:p>
    <w:p>
      <w:pPr>
        <w:pStyle w:val="FirstParagraph"/>
      </w:pPr>
      <w:r>
        <w:t xml:space="preserve">The completed analytical result has three parts. The model supports a commandable release and conditional orbital-energy benefit; the full-system 3U mass criterion fails; and the physical behavior remains unverified. The last category includes release-cycle reliability, shock and arrest loads transmitted to stowed satellites, field exposure near a customer payload, host attitude/control authority and provider approval. The known-problems register ranks several as potentially design-fatal. Their existence limits product claims but does not undo the completed analytical finding.</w:t>
      </w:r>
    </w:p>
    <w:bookmarkEnd w:id="57"/>
    <w:bookmarkEnd w:id="58"/>
    <w:bookmarkStart w:id="59" w:name="conclusion"/>
    <w:p>
      <w:pPr>
        <w:pStyle w:val="Heading1"/>
      </w:pPr>
      <w:r>
        <w:t xml:space="preserve">9. Conclusion</w:t>
      </w:r>
    </w:p>
    <w:p>
      <w:pPr>
        <w:pStyle w:val="FirstParagraph"/>
      </w:pPr>
      <w:r>
        <w:t xml:space="preserve">The Gen5 computational thesis reaches a complete engineering conclusion within its stated scope. Its system-level model predicts a commandable moderate-acceleration release and a conditional orbital-energy benefit. Complete installed-mass accounting then shows the configuration misses its preset 3U benchmark. The answer to the thesis trade question is therefore conditional benefit with an unfavourable 3U system cost. Hardware behavior and interfaces remain outside the tested evidence, so the result is a research conclusion rather than a flight-readiness claim.</w:t>
      </w:r>
    </w:p>
    <w:p>
      <w:pPr>
        <w:pStyle w:val="BodyText"/>
      </w:pPr>
      <w:r>
        <w:t xml:space="preserve">The thesis’s strongest engineering contribution is the transparent decision record: the full machine was modelled, independent numerical checks corrected several claims, and an unfavourable mass result was retained. That closes the Gen5 study and provides a defensible input to a separate future architecture trade.</w:t>
      </w:r>
    </w:p>
    <w:bookmarkEnd w:id="59"/>
    <w:bookmarkStart w:id="60" w:name="future-work"/>
    <w:p>
      <w:pPr>
        <w:pStyle w:val="Heading1"/>
      </w:pPr>
      <w:r>
        <w:t xml:space="preserve">10. Future work</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BOLLEY and conventional mission substitutes belong in the same comparison boundary.</w:t>
      </w:r>
    </w:p>
    <w:p>
      <w:pPr>
        <w:pStyle w:val="BodyText"/>
      </w:pPr>
      <w:r>
        <w:t xml:space="preserve">The near-term milestone is one named test-article configuration that can be independently reviewed. Its package needs controlled geometry and drawings, a bill of materials, host and payload interfaces, full installed mass/energy/thermal accounting, assembly and inspection instructions, instrumented procedures, predetermined pass/fail and stop criteria, uncertainty and model-credibility evidence, retained failures, and an explicit build/test release decision. A rejected candidate is a valid research outcome; it must not be presented as a build-ready survivor.</w:t>
      </w:r>
    </w:p>
    <w:bookmarkEnd w:id="60"/>
    <w:bookmarkStart w:id="61" w:name="references-and-project-records"/>
    <w:p>
      <w:pPr>
        <w:pStyle w:val="Heading1"/>
      </w:pPr>
      <w:r>
        <w:t xml:space="preserve">11. References and project records</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 Rev. 14, 2020.</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repository head</w:t>
      </w:r>
      <w:r>
        <w:t xml:space="preserve"> </w:t>
      </w:r>
      <w:r>
        <w:rPr>
          <w:rStyle w:val="VerbatimChar"/>
        </w:rPr>
        <w:t xml:space="preserve">b30ffdc</w:t>
      </w:r>
      <w:r>
        <w:t xml:space="preserve">, 28 September 2026. Project record, not independent experimental evidence.</w:t>
      </w:r>
    </w:p>
    <w:p>
      <w:pPr>
        <w:pStyle w:val="Compact"/>
        <w:numPr>
          <w:ilvl w:val="0"/>
          <w:numId w:val="1002"/>
        </w:numPr>
      </w:pPr>
      <w:r>
        <w:t xml:space="preserve">VOLLEY/BOLLEY,</w:t>
      </w:r>
      <w:r>
        <w:t xml:space="preserve"> </w:t>
      </w:r>
      <w:r>
        <w:rPr>
          <w:i/>
          <w:iCs/>
        </w:rPr>
        <w:t xml:space="preserve">Current Plan and Status — PLAN-R2</w:t>
      </w:r>
      <w:r>
        <w:t xml:space="preserve">, controlled working baseline, 29 September 2026. Project plan, not achieved performance.</w:t>
      </w:r>
    </w:p>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Final B.Tech Project Review</dc:title>
  <dc:creator>Adityavardhan Mishra; Pratham Chawla</dc:creator>
  <cp:keywords/>
  <dcterms:created xsi:type="dcterms:W3CDTF">2026-10-09T05:45:43Z</dcterms:created>
  <dcterms:modified xsi:type="dcterms:W3CDTF">2026-10-09T05:45:43Z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margin=20mm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Panel handbook: completed Gen5 study, findings, and future direction</vt:lpwstr>
  </property>
  <property fmtid="{D5CDD505-2E9C-101B-9397-08002B2CF9AE}" pid="9" name="toc">
    <vt:lpwstr>True</vt:lpwstr>
  </property>
  <property fmtid="{D5CDD505-2E9C-101B-9397-08002B2CF9AE}" pid="10" name="toc-depth">
    <vt:lpwstr>2</vt:lpwstr>
  </property>
</Properties>
</file>