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bookmarkStart w:colFirst="0" w:colLast="0" w:name="_khnh3we0xh4j" w:id="0"/>
      <w:bookmarkEnd w:id="0"/>
      <w:r w:rsidDel="00000000" w:rsidR="00000000" w:rsidRPr="00000000">
        <w:rPr>
          <w:rtl w:val="0"/>
        </w:rPr>
        <w:t xml:space="preserve">Informe Desarrollo de Agente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Evaluación Parcial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: [2]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Integrantes: Aaron Gorigoitia, Xavier Blanco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Profesor: </w:t>
      </w:r>
      <w:r w:rsidDel="00000000" w:rsidR="00000000" w:rsidRPr="00000000">
        <w:rPr>
          <w:rtl w:val="0"/>
        </w:rPr>
        <w:t xml:space="preserve">Giocrisrail Godoy Bonillo</w:t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  <w:t xml:space="preserve">Asignatura: Ingeniería de soluciones con inteligencia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Fecha: 29/10/2025</w:t>
      </w:r>
    </w:p>
    <w:p w:rsidR="00000000" w:rsidDel="00000000" w:rsidP="00000000" w:rsidRDefault="00000000" w:rsidRPr="00000000" w14:paraId="0000002F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ekt10qnrm7nd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tp0d3wrm5ihd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Este proyecto corresponde a la segunda parte del proyecto iniciado en la evaluación parcial N°1, donde tuvimos que crear un agente funcional para la clínica "Sonrisa Saludable". En esta etapa, se profundizó en la implementación, donde se realizó la integración y orquestación avanzada de herramientas de consultar (cómo buscar pacientes o disponibilidad), escritura (registrar notas, enviar confirmaciones) y razonamiento (clasificar urgencia, recomendar especialista), donde en este caso trabajaremos principalmente con el framework Langchain para lograr un flujo de trabajo organizacional automatizado.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62fm2ypbodu4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Diseño e implementación del agente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2rrzrv6yti83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Se creó un repositorio en GitHub, donde se encuentra todo el código fuente del proyecto. Este se trabajó con el framework de Langchain (versión 0.1.0 o superior), el cual nos permite integrar de forma modular los componentes necesarios: módulos de recuperación de información (desde bases de datos o historiales), razonamiento (usando el LLM) y generación de respuestas. La elección de Langchain se justifica por su robustez para definir cadenas (chains) y agentes, facilitando la orquestación entre distintos módulos y herramientas, lo cual garantiza una mejor escalabilidad si se necesitaran añadir más funciones a futuro y compatibilidad con diversas fuentes de datos y modelos.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tc6aq7rcfqyp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Para la integración de herramientas, se aprovechó el mecanismo de Function Calling de OpenAI, donde las funciones python que definen las herramientas (como buscar paciente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agendar cita,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etc.) Se describen con esquemas claros (usando pydantic), permitiendo que el LLM las invoque de forma precisa y estructurada.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n2bpqgs1g34g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Las respuestas del agente son resueltas basándose en embeddings vectoriales para la búsqueda semántica en la memoria y utilizando el modelo gpt-4-turbo. Se optó por GPT-4-Turbo sobre modelos anteriores debido a su superior capacidad de seguimiento de instrucciones complejas, razonamiento avanzado y su ventana de contexto más amplia (128k tokens), crucial para mantener la coherencia en conversaciones largas o con mucha información. El sistema incluye módulos específicos de escritura (para registrar información en bases de datos o enviar notificaciones) y validación (para asegurar que los datos como fechas, ruts, entre otras, y sean correctos antes de usarlos), donde el agente genera las respuestas finales basándose en el razonamiento aplicado al contexto clínico específico de "Sonrisa Saludable".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pw94jol3jm3t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Configuración de memoria y recuperación de contexto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pkwi1ul4r3pm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Para este apartado, se implementaron mecanismos de memoria que combinan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corto y largo plazo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asegurar la continuidad y coherencia en flujos prolongados.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 de Corto Plazo:</w:t>
      </w:r>
      <w:r w:rsidDel="00000000" w:rsidR="00000000" w:rsidRPr="00000000">
        <w:rPr>
          <w:sz w:val="24"/>
          <w:szCs w:val="24"/>
          <w:rtl w:val="0"/>
        </w:rPr>
        <w:t xml:space="preserve"> Se configuró una memoria de Langchain, la cual almacena los últimos intercambios de la conversación actual (por ejemplo, los últimos 10 mensajes). Esto permite responder a preguntas inmediatas sobre lo recién hablado y evita el desborde de contexto en prompts muy largos.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 de Largo Plazo:</w:t>
      </w:r>
      <w:r w:rsidDel="00000000" w:rsidR="00000000" w:rsidRPr="00000000">
        <w:rPr>
          <w:sz w:val="24"/>
          <w:szCs w:val="24"/>
          <w:rtl w:val="0"/>
        </w:rPr>
        <w:t xml:space="preserve"> Se utilizó una base de datos vectorial, en este caso ChromaDB, donde se almacenan </w:t>
      </w:r>
      <w:r w:rsidDel="00000000" w:rsidR="00000000" w:rsidRPr="00000000">
        <w:rPr>
          <w:i w:val="1"/>
          <w:sz w:val="24"/>
          <w:szCs w:val="24"/>
          <w:rtl w:val="0"/>
        </w:rPr>
        <w:t xml:space="preserve">embeddings</w:t>
      </w:r>
      <w:r w:rsidDel="00000000" w:rsidR="00000000" w:rsidRPr="00000000">
        <w:rPr>
          <w:sz w:val="24"/>
          <w:szCs w:val="24"/>
          <w:rtl w:val="0"/>
        </w:rPr>
        <w:t xml:space="preserve"> de conversaciones pasadas y notas clínicas relevantes. ChromaDB se eligió por ser de código abierto, fácil de configurar localmente para el proyecto y tener buena integración con Langchain. Este sistema es el que permite al agente mantener la coherencia a través de diferentes sesiones o en tareas muy prolongadas.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Recuperación de Contexto Semántico:</w:t>
      </w:r>
      <w:r w:rsidDel="00000000" w:rsidR="00000000" w:rsidRPr="00000000">
        <w:rPr>
          <w:sz w:val="24"/>
          <w:szCs w:val="24"/>
          <w:rtl w:val="0"/>
        </w:rPr>
        <w:t xml:space="preserve"> Cuando el agente necesita recordar información pasada relevante para la consulta actual, utiliza un proceso de recuperación semántica. La consulta actual se convierte en un embedding y se busca en ChromaDB los fragmentos de conversaciones o notas anteriores cuyos embeddings sean más cercanos (usando similitud coseno). Esta técnica, a menudo parte de un sistema RAG (Retrieval-Augmented Generation), permite encontrar información conceptualmente relacionada, aunque no use exactamente las mismas palabras, asegurando así la continuidad del flujo de trabajo.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t9yu5k44vmt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Planificación y toma de decisiones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xyj0nsaxrgx0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El agente incorpora un módulo de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planificación de tareas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que secuencia las actividades necesarias para responder a una solicitud del usuario, como análisis de la petición, búsqueda de información, ejecución de herramientas y generación de la respuesta final. Se emplea una estrategia basada en el enfoque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ReAct (Reason + Act)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el cual es un patrón soportado por los agentes de Langchain. Este enfoque permite que el agente "piense" (Reason) qué acción tomar a continuación, ejecute esa acción (Act) - que puede ser usar una herramienta o responder al usuario - y observe el resultado para decidir el siguiente paso.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go21tirggmee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Esto permite que el agente ajuste su comportamiento ante consultas complejas o condiciones cambiantes.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 1 (Información Faltante):</w:t>
      </w:r>
      <w:r w:rsidDel="00000000" w:rsidR="00000000" w:rsidRPr="00000000">
        <w:rPr>
          <w:sz w:val="24"/>
          <w:szCs w:val="24"/>
          <w:rtl w:val="0"/>
        </w:rPr>
        <w:t xml:space="preserve"> Si un paciente consulta por un tratamiento no registrado en la base de conocimiento (</w:t>
      </w:r>
      <w:r w:rsidDel="00000000" w:rsidR="00000000" w:rsidRPr="00000000">
        <w:rPr>
          <w:sz w:val="24"/>
          <w:szCs w:val="24"/>
          <w:rtl w:val="0"/>
        </w:rPr>
        <w:t xml:space="preserve">buscar_protocolo_clinico</w:t>
      </w:r>
      <w:r w:rsidDel="00000000" w:rsidR="00000000" w:rsidRPr="00000000">
        <w:rPr>
          <w:sz w:val="24"/>
          <w:szCs w:val="24"/>
          <w:rtl w:val="0"/>
        </w:rPr>
        <w:t xml:space="preserve"> no devuelve resultados), el agente razona que falta información, decide no inventar una respuesta y en su lugar sugiere una cita presencial para evaluación.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 2 (Cambio de Solicitud):</w:t>
      </w:r>
      <w:r w:rsidDel="00000000" w:rsidR="00000000" w:rsidRPr="00000000">
        <w:rPr>
          <w:sz w:val="24"/>
          <w:szCs w:val="24"/>
          <w:rtl w:val="0"/>
        </w:rPr>
        <w:t xml:space="preserve"> Si el usuario pide una cita para el lunes a las 10 am, y luego dice "mejor el martes por la tarde", el agente detecta el cambio, razona que debe descartar la búsqueda anterior y realizar una nueva consulta de agenda con los nuevos parámetros (</w:t>
      </w:r>
      <w:r w:rsidDel="00000000" w:rsidR="00000000" w:rsidRPr="00000000">
        <w:rPr>
          <w:sz w:val="24"/>
          <w:szCs w:val="24"/>
          <w:rtl w:val="0"/>
        </w:rPr>
        <w:t xml:space="preserve">consultar_agenda</w:t>
      </w:r>
      <w:r w:rsidDel="00000000" w:rsidR="00000000" w:rsidRPr="00000000">
        <w:rPr>
          <w:sz w:val="24"/>
          <w:szCs w:val="24"/>
          <w:rtl w:val="0"/>
        </w:rPr>
        <w:t xml:space="preserve"> con fecha=martes, horario=tarde), manteniendo el resto de la información del paciente.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Viendo estos ejemplos, se demuestra cómo la planificación y toma de decisiones implementadas permiten al agente manejar tareas con múltiples etapas y adaptarse a condiciones cambiantes.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3cv1vebze32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Documentación técnica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cb2pbuq2bcvc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t xml:space="preserve">La documentación detallada del diseño e implementación del agente, incluyendo las decisiones de arquitectura, justificación de componentes y las instrucciones precisas para ejecutar el sistema, se encuentran dentro del archivo README.md adjunto en la raíz del proyecto de GitHub. Dicho README se complementa con diagramas de orquestación y flujo de trabajo que ilustran visualmente la interacción entre los componentes del agente y su relación con el flujo automatizado.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o190n4r0a7i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sz w:val="24"/>
          <w:szCs w:val="24"/>
        </w:rPr>
      </w:pPr>
      <w:bookmarkStart w:colFirst="0" w:colLast="0" w:name="_mbt8auq91lk9" w:id="15"/>
      <w:bookmarkEnd w:id="15"/>
      <w:r w:rsidDel="00000000" w:rsidR="00000000" w:rsidRPr="00000000">
        <w:rPr>
          <w:color w:val="000000"/>
          <w:sz w:val="24"/>
          <w:szCs w:val="24"/>
          <w:rtl w:val="0"/>
        </w:rPr>
        <w:t xml:space="preserve">ChromaDB Team. (2024).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ChromaDB Documentation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Chroma. </w:t>
      </w:r>
      <w:hyperlink r:id="rId6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https://docs.trychroma.com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sz w:val="24"/>
          <w:szCs w:val="24"/>
        </w:rPr>
      </w:pPr>
      <w:bookmarkStart w:colFirst="0" w:colLast="0" w:name="_54cv8xjsuenl" w:id="16"/>
      <w:bookmarkEnd w:id="16"/>
      <w:r w:rsidDel="00000000" w:rsidR="00000000" w:rsidRPr="00000000">
        <w:rPr>
          <w:color w:val="000000"/>
          <w:sz w:val="24"/>
          <w:szCs w:val="24"/>
          <w:rtl w:val="0"/>
        </w:rPr>
        <w:t xml:space="preserve">LangChain AI. (2024).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LangChain Python Documentation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LangChain.</w:t>
      </w:r>
      <w:hyperlink r:id="rId7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 https://python.langchain.com/docs/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3xji5339l8n" w:id="17"/>
      <w:bookmarkEnd w:id="17"/>
      <w:r w:rsidDel="00000000" w:rsidR="00000000" w:rsidRPr="00000000">
        <w:rPr>
          <w:color w:val="000000"/>
          <w:sz w:val="24"/>
          <w:szCs w:val="24"/>
          <w:rtl w:val="0"/>
        </w:rPr>
        <w:t xml:space="preserve">OpenAI. (2024).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GPT-4 Technical Report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(arXiv:2303.08774). arXiv.</w:t>
      </w:r>
      <w:hyperlink r:id="rId8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 https://doi.org/10.48550/arXiv.2303.08774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-619124</wp:posOffset>
          </wp:positionH>
          <wp:positionV relativeFrom="paragraph">
            <wp:posOffset>-171449</wp:posOffset>
          </wp:positionV>
          <wp:extent cx="2328863" cy="57254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8863" cy="57254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trychroma.com" TargetMode="External"/><Relationship Id="rId7" Type="http://schemas.openxmlformats.org/officeDocument/2006/relationships/hyperlink" Target="https://python.langchain.com/docs/" TargetMode="External"/><Relationship Id="rId8" Type="http://schemas.openxmlformats.org/officeDocument/2006/relationships/hyperlink" Target="https://doi.org/10.48550/arXiv.2303.0877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