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59" w:lineRule="auto"/>
        <w:jc w:val="center"/>
      </w:pPr>
      <w:r>
        <w:rPr>
          <w:rFonts w:ascii="Arial" w:hAnsi="Arial" w:eastAsia="Microsoft YaHei"/>
          <w:b/>
          <w:sz w:val="32"/>
        </w:rPr>
        <w:t>Global V. parahaemolyticus Background Tree Pipeline（中文版最终草案）</w:t>
      </w:r>
    </w:p>
    <w:p>
      <w:pPr>
        <w:spacing w:before="0" w:after="160" w:line="259" w:lineRule="auto"/>
        <w:jc w:val="center"/>
      </w:pPr>
      <w:r>
        <w:rPr>
          <w:rFonts w:ascii="Arial" w:hAnsi="Arial" w:eastAsia="Microsoft YaHei"/>
          <w:b w:val="0"/>
          <w:i/>
          <w:sz w:val="21"/>
        </w:rPr>
        <w:t>以 Charles 六条建议为框架，整合 Yang 方法学先例和当前数据源设计</w:t>
      </w:r>
    </w:p>
    <w:p>
      <w:pPr>
        <w:pStyle w:val="Heading1"/>
        <w:spacing w:before="140" w:after="80" w:line="259" w:lineRule="auto"/>
        <w:keepNext/>
        <w:keepNext/>
      </w:pPr>
      <w:r>
        <w:rPr>
          <w:rFonts w:ascii="Arial" w:hAnsi="Arial" w:eastAsia="Microsoft YaHei"/>
          <w:b w:val="0"/>
          <w:sz w:val="21"/>
        </w:rPr>
        <w:t>总体定位</w:t>
      </w:r>
    </w:p>
    <w:p>
      <w:pPr>
        <w:spacing w:before="0" w:after="80" w:line="259" w:lineRule="auto"/>
      </w:pPr>
      <w:r>
        <w:rPr>
          <w:rFonts w:ascii="Arial" w:hAnsi="Arial" w:eastAsia="Microsoft YaHei"/>
          <w:b w:val="0"/>
          <w:sz w:val="21"/>
        </w:rPr>
        <w:t>该 global tree 用于将 ST50，尤其是 New Zealand/Australian ST50 isolates，放入全球 Vibrio parahaemolyticus contemporary diversity 背景中。该分析定位为 broad contextual phylogeny，不替代 Paper 3 的 ST50-only outbreak-resolution SNP tree。ST50 outbreak relationships 仍以 ST50 recombination-filtered tree 为主。</w:t>
      </w:r>
    </w:p>
    <w:p>
      <w:pPr>
        <w:pStyle w:val="Heading1"/>
        <w:spacing w:before="140" w:after="80" w:line="259" w:lineRule="auto"/>
        <w:keepNext/>
        <w:keepNext/>
      </w:pPr>
      <w:r>
        <w:rPr>
          <w:rFonts w:ascii="Arial" w:hAnsi="Arial" w:eastAsia="Microsoft YaHei"/>
          <w:b w:val="0"/>
          <w:sz w:val="21"/>
        </w:rPr>
        <w:t>数据源</w:t>
      </w:r>
    </w:p>
    <w:p>
      <w:pPr>
        <w:pStyle w:val="Heading2"/>
        <w:spacing w:before="80" w:after="80" w:line="259" w:lineRule="auto"/>
        <w:keepNext/>
        <w:keepNext/>
      </w:pPr>
      <w:r>
        <w:rPr>
          <w:rFonts w:ascii="Arial" w:hAnsi="Arial" w:eastAsia="Microsoft YaHei"/>
          <w:b w:val="0"/>
          <w:sz w:val="21"/>
        </w:rPr>
        <w:t>数据源 1：PFR 本地 assemblies（PowerPlant）</w:t>
      </w:r>
    </w:p>
    <w:p>
      <w:pPr>
        <w:spacing w:before="0" w:after="80" w:line="259" w:lineRule="auto"/>
      </w:pPr>
      <w:r>
        <w:rPr>
          <w:rFonts w:ascii="Arial" w:hAnsi="Arial" w:eastAsia="Microsoft YaHei"/>
          <w:b w:val="0"/>
          <w:sz w:val="21"/>
        </w:rPr>
        <w:t>PowerPlant 上 PFR collection 中的 V. parahaemolyticus assemblies，包括：</w:t>
      </w:r>
    </w:p>
    <w:p>
      <w:pPr>
        <w:pStyle w:val="ListBullet"/>
        <w:spacing w:before="0" w:after="40" w:line="259" w:lineRule="auto"/>
      </w:pPr>
      <w:r>
        <w:rPr>
          <w:rFonts w:ascii="Arial" w:hAnsi="Arial" w:eastAsia="Microsoft YaHei"/>
          <w:b w:val="0"/>
          <w:sz w:val="21"/>
        </w:rPr>
        <w:t>PFR NZ ST50 株，即 Paper 3 中使用的 PFR/ESR 本地株。</w:t>
      </w:r>
    </w:p>
    <w:p>
      <w:pPr>
        <w:pStyle w:val="ListBullet"/>
        <w:spacing w:before="0" w:after="40" w:line="259" w:lineRule="auto"/>
      </w:pPr>
      <w:r>
        <w:rPr>
          <w:rFonts w:ascii="Arial" w:hAnsi="Arial" w:eastAsia="Microsoft YaHei"/>
          <w:b w:val="0"/>
          <w:sz w:val="21"/>
        </w:rPr>
        <w:t>PFR NZ non-ST50 株，包括环境株和临床株。</w:t>
      </w:r>
    </w:p>
    <w:p>
      <w:pPr>
        <w:spacing w:before="0" w:after="80" w:line="259" w:lineRule="auto"/>
      </w:pPr>
      <w:r>
        <w:rPr>
          <w:rFonts w:ascii="Arial" w:hAnsi="Arial" w:eastAsia="Microsoft YaHei"/>
          <w:b w:val="0"/>
          <w:sz w:val="21"/>
        </w:rPr>
        <w:t>这些是 PFR 自有本地 assemblies。合并去重时，如与 NCBI 公共 assembly 重复，优先保留 PFR 本地版本。</w:t>
      </w:r>
    </w:p>
    <w:p>
      <w:pPr>
        <w:pStyle w:val="Heading2"/>
        <w:spacing w:before="80" w:after="80" w:line="259" w:lineRule="auto"/>
        <w:keepNext/>
        <w:keepNext/>
      </w:pPr>
      <w:r>
        <w:rPr>
          <w:rFonts w:ascii="Arial" w:hAnsi="Arial" w:eastAsia="Microsoft YaHei"/>
          <w:b w:val="0"/>
          <w:sz w:val="21"/>
        </w:rPr>
        <w:t>数据源 2：NCBI 公共 assemblies（需下载）</w:t>
      </w:r>
    </w:p>
    <w:p>
      <w:pPr>
        <w:spacing w:before="0" w:after="80" w:line="259" w:lineRule="auto"/>
      </w:pPr>
      <w:r>
        <w:rPr>
          <w:rFonts w:ascii="Arial" w:hAnsi="Arial" w:eastAsia="Microsoft YaHei"/>
          <w:b w:val="0"/>
          <w:sz w:val="21"/>
        </w:rPr>
        <w:t>(a) NCBI 2019+ 全球 background pool：使用 NCBI Datasets 下载所有标注为 V. parahaemolyticus、collection year ≥2019、具有地理信息的 genome assemblies。该 pool 是 dataset 主体，提供 contemporary global diversity across all sequence types。下载时记录 exact query terms、accession versions 和 download date。预计该下载会覆盖大部分公共 ST50 assemblies，包括 Australia ST50、New Zealand 公共 ST50、近年 US ST50 和其他国家 ST50。</w:t>
      </w:r>
    </w:p>
    <w:p>
      <w:pPr>
        <w:spacing w:before="0" w:after="80" w:line="259" w:lineRule="auto"/>
      </w:pPr>
      <w:r>
        <w:rPr>
          <w:rFonts w:ascii="Arial" w:hAnsi="Arial" w:eastAsia="Microsoft YaHei"/>
          <w:b w:val="0"/>
          <w:sz w:val="21"/>
        </w:rPr>
        <w:t>(b) Pre-2019 ST50 assemblies 专项补充：Paper 3 中使用的 pre-2019 ST50 baseline strains，例如 Japan 1984、US 1997–2007 等，不在 2019+ pool 中，需要根据 accession number 单独从 NCBI 下载 assemblies。无 NCBI assembly 的 PubMLST-only strains 使用已有 PubMLST assembly 文件。</w:t>
      </w:r>
    </w:p>
    <w:p>
      <w:pPr>
        <w:pStyle w:val="Heading2"/>
        <w:spacing w:before="80" w:after="80" w:line="259" w:lineRule="auto"/>
        <w:keepNext/>
        <w:keepNext/>
      </w:pPr>
      <w:r>
        <w:rPr>
          <w:rFonts w:ascii="Arial" w:hAnsi="Arial" w:eastAsia="Microsoft YaHei"/>
          <w:b w:val="0"/>
          <w:sz w:val="21"/>
        </w:rPr>
        <w:t>数据源 3：ESR NZ ST50 accession numbers</w:t>
      </w:r>
    </w:p>
    <w:p>
      <w:pPr>
        <w:spacing w:before="0" w:after="80" w:line="259" w:lineRule="auto"/>
      </w:pPr>
      <w:r>
        <w:rPr>
          <w:rFonts w:ascii="Arial" w:hAnsi="Arial" w:eastAsia="Microsoft YaHei"/>
          <w:b w:val="0"/>
          <w:sz w:val="21"/>
        </w:rPr>
        <w:t>Paper 3 中部分 ESR NZ ST50 株在 PFR 本地没有 assembly，仅有 accession numbers。这些株预计会被 NCBI 2019+ 下载覆盖。下载后需与 Paper 3 strain list 交叉核对，确认全部 ESR ST50 均已获取 assembly。如有未覆盖 ESR 株，根据其 SRA accession 单独下载 assembly，或从 reads 重新组装。</w:t>
      </w:r>
    </w:p>
    <w:p>
      <w:pPr>
        <w:pStyle w:val="Heading1"/>
        <w:spacing w:before="140" w:after="80" w:line="259" w:lineRule="auto"/>
        <w:keepNext/>
        <w:keepNext/>
      </w:pPr>
      <w:r>
        <w:rPr>
          <w:rFonts w:ascii="Arial" w:hAnsi="Arial" w:eastAsia="Microsoft YaHei"/>
          <w:b w:val="0"/>
          <w:sz w:val="21"/>
        </w:rPr>
        <w:t>Integration 流程</w:t>
      </w:r>
    </w:p>
    <w:p>
      <w:pPr>
        <w:pStyle w:val="Heading2"/>
        <w:spacing w:before="80" w:after="80" w:line="259" w:lineRule="auto"/>
        <w:keepNext/>
        <w:keepNext/>
      </w:pPr>
      <w:r>
        <w:rPr>
          <w:rFonts w:ascii="Arial" w:hAnsi="Arial" w:eastAsia="Microsoft YaHei"/>
          <w:b w:val="0"/>
          <w:sz w:val="21"/>
        </w:rPr>
        <w:t>Step A：数据收集与 raw merged assembly set 建立</w:t>
      </w:r>
    </w:p>
    <w:p>
      <w:pPr>
        <w:spacing w:before="0" w:after="80" w:line="259" w:lineRule="auto"/>
      </w:pPr>
      <w:r>
        <w:rPr>
          <w:rFonts w:ascii="Arial" w:hAnsi="Arial" w:eastAsia="Microsoft YaHei"/>
          <w:b w:val="0"/>
          <w:sz w:val="21"/>
        </w:rPr>
        <w:t>执行 NCBI 2019+ global background pool 下载并提取 metadata；根据 Paper 3 strain list 中的 accession numbers 下载 pre-2019 ST50 assemblies；汇总 PFR 本地 assemblies、NCBI assemblies、pre-2019 ST50 assemblies、PubMLST assemblies，以及必要时由 reads 组装得到的 ESR ST50 assemblies，形成 raw merged assembly set。</w:t>
      </w:r>
    </w:p>
    <w:p>
      <w:pPr>
        <w:pStyle w:val="Heading2"/>
        <w:spacing w:before="80" w:after="80" w:line="259" w:lineRule="auto"/>
        <w:keepNext/>
        <w:keepNext/>
      </w:pPr>
      <w:r>
        <w:rPr>
          <w:rFonts w:ascii="Arial" w:hAnsi="Arial" w:eastAsia="Microsoft YaHei"/>
          <w:b w:val="0"/>
          <w:sz w:val="21"/>
        </w:rPr>
        <w:t>Step B：统一 MLST 分型并识别 ST50</w:t>
      </w:r>
    </w:p>
    <w:p>
      <w:pPr>
        <w:spacing w:before="0" w:after="80" w:line="259" w:lineRule="auto"/>
      </w:pPr>
      <w:r>
        <w:rPr>
          <w:rFonts w:ascii="Arial" w:hAnsi="Arial" w:eastAsia="Microsoft YaHei"/>
          <w:b w:val="0"/>
          <w:sz w:val="21"/>
        </w:rPr>
        <w:t>对合并后的全部 assemblies 统一运行 mlst，包括 PFR 本地 assemblies、NCBI 下载 assemblies、pre-2019 ST50 assemblies 和 PubMLST assemblies，确保每株都有 ST assignment。Paper 3 已确认的 181 株 ST50 以 Paper 3 的 MLST 结果为准，其余株以本次 MLST 结果为准。与 Paper 3 的 181 株 ST50 list 交叉比对，识别 Paper 3 未覆盖的新 ST50。</w:t>
      </w:r>
    </w:p>
    <w:p>
      <w:pPr>
        <w:pStyle w:val="Heading2"/>
        <w:spacing w:before="80" w:after="80" w:line="259" w:lineRule="auto"/>
        <w:keepNext/>
        <w:keepNext/>
      </w:pPr>
      <w:r>
        <w:rPr>
          <w:rFonts w:ascii="Arial" w:hAnsi="Arial" w:eastAsia="Microsoft YaHei"/>
          <w:b w:val="0"/>
          <w:sz w:val="21"/>
        </w:rPr>
        <w:t>Step C：合并来源标注</w:t>
      </w:r>
    </w:p>
    <w:p>
      <w:pPr>
        <w:spacing w:before="0" w:after="80" w:line="259" w:lineRule="auto"/>
      </w:pPr>
      <w:r>
        <w:rPr>
          <w:rFonts w:ascii="Arial" w:hAnsi="Arial" w:eastAsia="Microsoft YaHei"/>
          <w:b w:val="0"/>
          <w:sz w:val="21"/>
        </w:rPr>
        <w:t>以 PFR 本地 assemblies 为基础，加入 NCBI assemblies、pre-2019 ST50 assemblies、PubMLST assemblies，以及必要时 reads 组装得到的 assemblies。为每株标注 source，包括 PFR 本地、NCBI 公共、PubMLST 或 reads 组装。</w:t>
      </w:r>
    </w:p>
    <w:p>
      <w:pPr>
        <w:pStyle w:val="Heading2"/>
        <w:spacing w:before="80" w:after="80" w:line="259" w:lineRule="auto"/>
        <w:keepNext/>
        <w:keepNext/>
      </w:pPr>
      <w:r>
        <w:rPr>
          <w:rFonts w:ascii="Arial" w:hAnsi="Arial" w:eastAsia="Microsoft YaHei"/>
          <w:b w:val="0"/>
          <w:sz w:val="21"/>
        </w:rPr>
        <w:t>Step D：BioSample 去重</w:t>
      </w:r>
    </w:p>
    <w:p>
      <w:pPr>
        <w:spacing w:before="0" w:after="80" w:line="259" w:lineRule="auto"/>
      </w:pPr>
      <w:r>
        <w:rPr>
          <w:rFonts w:ascii="Arial" w:hAnsi="Arial" w:eastAsia="Microsoft YaHei"/>
          <w:b w:val="0"/>
          <w:sz w:val="21"/>
        </w:rPr>
        <w:t>按 BioSample 去重。规则如下：</w:t>
      </w:r>
    </w:p>
    <w:p>
      <w:pPr>
        <w:pStyle w:val="ListBullet"/>
        <w:spacing w:before="0" w:after="40" w:line="259" w:lineRule="auto"/>
      </w:pPr>
      <w:r>
        <w:rPr>
          <w:rFonts w:ascii="Arial" w:hAnsi="Arial" w:eastAsia="Microsoft YaHei"/>
          <w:b w:val="0"/>
          <w:sz w:val="21"/>
        </w:rPr>
        <w:t>PowerPlant PFR 本地 assembly 优先于 NCBI 公共 assembly。</w:t>
      </w:r>
    </w:p>
    <w:p>
      <w:pPr>
        <w:pStyle w:val="ListBullet"/>
        <w:spacing w:before="0" w:after="40" w:line="259" w:lineRule="auto"/>
      </w:pPr>
      <w:r>
        <w:rPr>
          <w:rFonts w:ascii="Arial" w:hAnsi="Arial" w:eastAsia="Microsoft YaHei"/>
          <w:b w:val="0"/>
          <w:sz w:val="21"/>
        </w:rPr>
        <w:t>同一 BioSample 有多个 NCBI assemblies 时，优先 RefSeq over GenBank。</w:t>
      </w:r>
    </w:p>
    <w:p>
      <w:pPr>
        <w:pStyle w:val="ListBullet"/>
        <w:spacing w:before="0" w:after="40" w:line="259" w:lineRule="auto"/>
      </w:pPr>
      <w:r>
        <w:rPr>
          <w:rFonts w:ascii="Arial" w:hAnsi="Arial" w:eastAsia="Microsoft YaHei"/>
          <w:b w:val="0"/>
          <w:sz w:val="21"/>
        </w:rPr>
        <w:t>其次优先 N50 更大、contig 更少、assembly level 更高、metadata 更完整者。</w:t>
      </w:r>
    </w:p>
    <w:p>
      <w:pPr>
        <w:pStyle w:val="Heading2"/>
        <w:spacing w:before="80" w:after="80" w:line="259" w:lineRule="auto"/>
        <w:keepNext/>
        <w:keepNext/>
      </w:pPr>
      <w:r>
        <w:rPr>
          <w:rFonts w:ascii="Arial" w:hAnsi="Arial" w:eastAsia="Microsoft YaHei"/>
          <w:b w:val="0"/>
          <w:sz w:val="21"/>
        </w:rPr>
        <w:t>Step E：确认所有 ST50 均已获取 assembly</w:t>
      </w:r>
    </w:p>
    <w:p>
      <w:pPr>
        <w:spacing w:before="0" w:after="80" w:line="259" w:lineRule="auto"/>
      </w:pPr>
      <w:r>
        <w:rPr>
          <w:rFonts w:ascii="Arial" w:hAnsi="Arial" w:eastAsia="Microsoft YaHei"/>
          <w:b w:val="0"/>
          <w:sz w:val="21"/>
        </w:rPr>
        <w:t>逐株核对 Paper 3 的 181 株 ST50 list 加 Step B 中新发现的 ST50，标记为 ST50_retained_set。记录每株 assembly 来源：PFR 本地、NCBI 公共、PubMLST 或 reads 组装。如有任何 ST50 未获取 assembly，记录原因并决定是否从 reads 组装。</w:t>
      </w:r>
    </w:p>
    <w:p>
      <w:pPr>
        <w:pStyle w:val="Heading2"/>
        <w:spacing w:before="80" w:after="80" w:line="259" w:lineRule="auto"/>
        <w:keepNext/>
        <w:keepNext/>
      </w:pPr>
      <w:r>
        <w:rPr>
          <w:rFonts w:ascii="Arial" w:hAnsi="Arial" w:eastAsia="Microsoft YaHei"/>
          <w:b w:val="0"/>
          <w:sz w:val="21"/>
        </w:rPr>
        <w:t>Step F：生成 master tracking file</w:t>
      </w:r>
    </w:p>
    <w:p>
      <w:pPr>
        <w:spacing w:before="0" w:after="80" w:line="259" w:lineRule="auto"/>
      </w:pPr>
      <w:r>
        <w:rPr>
          <w:rFonts w:ascii="Arial" w:hAnsi="Arial" w:eastAsia="Microsoft YaHei"/>
          <w:b w:val="0"/>
          <w:sz w:val="21"/>
        </w:rPr>
        <w:t>生成 merged genome list，标注每株的 source、ST50_retained_set 归属、BioSample、assembly accession、country、year、ST、BioProject、QC status。该 file 作为后续所有步骤的 master tracking file。</w:t>
      </w:r>
    </w:p>
    <w:p>
      <w:pPr>
        <w:pStyle w:val="Heading1"/>
        <w:spacing w:before="140" w:after="80" w:line="259" w:lineRule="auto"/>
        <w:keepNext/>
        <w:keepNext/>
      </w:pPr>
      <w:r>
        <w:rPr>
          <w:rFonts w:ascii="Arial" w:hAnsi="Arial" w:eastAsia="Microsoft YaHei"/>
          <w:b w:val="0"/>
          <w:sz w:val="21"/>
        </w:rPr>
        <w:t>主分析流程</w:t>
      </w:r>
    </w:p>
    <w:p>
      <w:pPr>
        <w:pStyle w:val="Heading2"/>
        <w:spacing w:before="80" w:after="80" w:line="259" w:lineRule="auto"/>
        <w:keepNext/>
        <w:keepNext/>
      </w:pPr>
      <w:r>
        <w:rPr>
          <w:rFonts w:ascii="Arial" w:hAnsi="Arial" w:eastAsia="Microsoft YaHei"/>
          <w:b w:val="0"/>
          <w:sz w:val="21"/>
        </w:rPr>
        <w:t>Step 1：元数据筛选</w:t>
      </w:r>
    </w:p>
    <w:p>
      <w:pPr>
        <w:spacing w:before="0" w:after="80" w:line="259" w:lineRule="auto"/>
      </w:pPr>
      <w:r>
        <w:rPr>
          <w:rFonts w:ascii="Arial" w:hAnsi="Arial" w:eastAsia="Microsoft YaHei"/>
          <w:b w:val="0"/>
          <w:sz w:val="21"/>
        </w:rPr>
        <w:t>主 global background pool 保留 collection year ≥2019 且有地理信息的 V. parahaemolyticus genomes。例外：所有 ST50 genomes 不受 2019 时间窗口限制。为完整展示 ST50 的全球时间跨度和地理分布，所有已知 ST50 assemblies，包括 pre-2019 ST50、Paper 3 baseline ST50 strains、NCBI 中识别出的全球 ST50 genomes，均纳入主分析。</w:t>
      </w:r>
    </w:p>
    <w:p>
      <w:pPr>
        <w:pStyle w:val="Heading2"/>
        <w:spacing w:before="80" w:after="80" w:line="259" w:lineRule="auto"/>
        <w:keepNext/>
        <w:keepNext/>
      </w:pPr>
      <w:r>
        <w:rPr>
          <w:rFonts w:ascii="Arial" w:hAnsi="Arial" w:eastAsia="Microsoft YaHei"/>
          <w:b w:val="0"/>
          <w:sz w:val="21"/>
        </w:rPr>
        <w:t>Step 2：Species confirmation</w:t>
      </w:r>
    </w:p>
    <w:p>
      <w:pPr>
        <w:spacing w:before="0" w:after="80" w:line="259" w:lineRule="auto"/>
      </w:pPr>
      <w:r>
        <w:rPr>
          <w:rFonts w:ascii="Arial" w:hAnsi="Arial" w:eastAsia="Microsoft YaHei"/>
          <w:b w:val="0"/>
          <w:sz w:val="21"/>
        </w:rPr>
        <w:t>使用 fastANI 或 skani，以 RIMD2210633 为参考。保留 ANI &gt;95% 的 genomes。ANI 仅作为 species-level filter，不作为 fine phylogenetic criterion。ANI borderline genomes，例如 95–96%，需额外检查 assembly quality、metadata 和 preliminary clustering/tree placement。</w:t>
      </w:r>
    </w:p>
    <w:p>
      <w:pPr>
        <w:pStyle w:val="Heading2"/>
        <w:spacing w:before="80" w:after="80" w:line="259" w:lineRule="auto"/>
        <w:keepNext/>
        <w:keepNext/>
      </w:pPr>
      <w:r>
        <w:rPr>
          <w:rFonts w:ascii="Arial" w:hAnsi="Arial" w:eastAsia="Microsoft YaHei"/>
          <w:b w:val="0"/>
          <w:sz w:val="21"/>
        </w:rPr>
        <w:t>Step 3：Assembly QC</w:t>
      </w:r>
    </w:p>
    <w:p>
      <w:pPr>
        <w:spacing w:before="0" w:after="80" w:line="259" w:lineRule="auto"/>
      </w:pPr>
      <w:r>
        <w:rPr>
          <w:rFonts w:ascii="Arial" w:hAnsi="Arial" w:eastAsia="Microsoft YaHei"/>
          <w:b w:val="0"/>
          <w:sz w:val="21"/>
        </w:rPr>
        <w:t>使用 CheckM2 或 CheckM 评估 completeness 和 contamination，建议标准为 completeness &gt;90%、contamination &lt;5%。使用 QUAST 检查 genome size、N50、contig count 和 total length。移除 suppressed、atypical、contaminated 或 poor-quality assemblies。</w:t>
      </w:r>
    </w:p>
    <w:p>
      <w:pPr>
        <w:pStyle w:val="Heading2"/>
        <w:spacing w:before="80" w:after="80" w:line="259" w:lineRule="auto"/>
        <w:keepNext/>
        <w:keepNext/>
      </w:pPr>
      <w:r>
        <w:rPr>
          <w:rFonts w:ascii="Arial" w:hAnsi="Arial" w:eastAsia="Microsoft YaHei"/>
          <w:b w:val="0"/>
          <w:sz w:val="21"/>
        </w:rPr>
        <w:t>Step 4：ST50 Tracking Checkpoint 1</w:t>
      </w:r>
    </w:p>
    <w:p>
      <w:pPr>
        <w:spacing w:before="0" w:after="80" w:line="259" w:lineRule="auto"/>
      </w:pPr>
      <w:r>
        <w:rPr>
          <w:rFonts w:ascii="Arial" w:hAnsi="Arial" w:eastAsia="Microsoft YaHei"/>
          <w:b w:val="0"/>
          <w:sz w:val="21"/>
        </w:rPr>
        <w:t>在 metadata filtering、BioSample deduplication、ANI confirmation 和 assembly QC 后，确认所有 ST50 isolates 是否仍被保留，包括 NZ/AU ST50、全球 ST50、pre-2019 ST50 baseline strains。如有任何 ST50 genome 被排除，必须记录具体原因。</w:t>
      </w:r>
    </w:p>
    <w:p>
      <w:pPr>
        <w:pStyle w:val="Heading2"/>
        <w:spacing w:before="80" w:after="80" w:line="259" w:lineRule="auto"/>
        <w:keepNext/>
        <w:keepNext/>
      </w:pPr>
      <w:r>
        <w:rPr>
          <w:rFonts w:ascii="Arial" w:hAnsi="Arial" w:eastAsia="Microsoft YaHei"/>
          <w:b w:val="0"/>
          <w:sz w:val="21"/>
        </w:rPr>
        <w:t>Step 5：Sampling Bias 评估</w:t>
      </w:r>
    </w:p>
    <w:p>
      <w:pPr>
        <w:spacing w:before="0" w:after="80" w:line="259" w:lineRule="auto"/>
      </w:pPr>
      <w:r>
        <w:rPr>
          <w:rFonts w:ascii="Arial" w:hAnsi="Arial" w:eastAsia="Microsoft YaHei"/>
          <w:b w:val="0"/>
          <w:sz w:val="21"/>
        </w:rPr>
        <w:t>生成 country × year × BioProject × ST 四维汇总表，同时检查 country、year、BioProject 和 ST 的单独分布。识别过度代表的 countries、years、BioProjects、outbreaks 或 STs。该 summary 用于建树前 review。</w:t>
      </w:r>
    </w:p>
    <w:p>
      <w:pPr>
        <w:pStyle w:val="Heading2"/>
        <w:spacing w:before="80" w:after="80" w:line="259" w:lineRule="auto"/>
        <w:keepNext/>
        <w:keepNext/>
      </w:pPr>
      <w:r>
        <w:rPr>
          <w:rFonts w:ascii="Arial" w:hAnsi="Arial" w:eastAsia="Microsoft YaHei"/>
          <w:b w:val="0"/>
          <w:sz w:val="21"/>
        </w:rPr>
        <w:t>Step 6：Downsampling</w:t>
      </w:r>
    </w:p>
    <w:p>
      <w:pPr>
        <w:spacing w:before="0" w:after="80" w:line="259" w:lineRule="auto"/>
      </w:pPr>
      <w:r>
        <w:rPr>
          <w:rFonts w:ascii="Arial" w:hAnsi="Arial" w:eastAsia="Microsoft YaHei"/>
          <w:b w:val="0"/>
          <w:sz w:val="21"/>
        </w:rPr>
        <w:t>采用以 MLST + metadata 为主的透明 downsampling 策略。对过度代表的 ST × country × year × BioProject strata 进行降采样。所有 ST50 isolates 必须保留，不论年份和地区。Rare STs 和 other Oceania isolates 优先保留，除非它们本身强烈过度代表。代表样本优先选择 assembly 质量高、metadata 完整者。目标 final dataset 约 3,000–4,000 genomes，并完整记录 downsampling 规则。</w:t>
      </w:r>
    </w:p>
    <w:p>
      <w:pPr>
        <w:pStyle w:val="Heading2"/>
        <w:spacing w:before="80" w:after="80" w:line="259" w:lineRule="auto"/>
        <w:keepNext/>
        <w:keepNext/>
      </w:pPr>
      <w:r>
        <w:rPr>
          <w:rFonts w:ascii="Arial" w:hAnsi="Arial" w:eastAsia="Microsoft YaHei"/>
          <w:b w:val="0"/>
          <w:sz w:val="21"/>
        </w:rPr>
        <w:t>Step 7：ST50 Tracking Checkpoint 2</w:t>
      </w:r>
    </w:p>
    <w:p>
      <w:pPr>
        <w:spacing w:before="0" w:after="80" w:line="259" w:lineRule="auto"/>
      </w:pPr>
      <w:r>
        <w:rPr>
          <w:rFonts w:ascii="Arial" w:hAnsi="Arial" w:eastAsia="Microsoft YaHei"/>
          <w:b w:val="0"/>
          <w:sz w:val="21"/>
        </w:rPr>
        <w:t>Downsampling 后再次确认所有 ST50 isolates 仍在 final phylogenetic dataset 中。记录 final ST50 isolate list，包括 year、country、BioProject、BioSample、assembly accession 和 source。</w:t>
      </w:r>
    </w:p>
    <w:p>
      <w:pPr>
        <w:pStyle w:val="Heading2"/>
        <w:spacing w:before="80" w:after="80" w:line="259" w:lineRule="auto"/>
        <w:keepNext/>
        <w:keepNext/>
      </w:pPr>
      <w:r>
        <w:rPr>
          <w:rFonts w:ascii="Arial" w:hAnsi="Arial" w:eastAsia="Microsoft YaHei"/>
          <w:b w:val="0"/>
          <w:sz w:val="21"/>
        </w:rPr>
        <w:t>Step 8：MUMmer Alignment</w:t>
      </w:r>
    </w:p>
    <w:p>
      <w:pPr>
        <w:spacing w:before="0" w:after="80" w:line="259" w:lineRule="auto"/>
      </w:pPr>
      <w:r>
        <w:rPr>
          <w:rFonts w:ascii="Arial" w:hAnsi="Arial" w:eastAsia="Microsoft YaHei"/>
          <w:b w:val="0"/>
          <w:sz w:val="21"/>
        </w:rPr>
        <w:t>使用 MUMmer 将 final genome set 比对到 RIMD2210633。该步骤定义为 conservative reference-guided core SNP approach，参考既有 V. parahaemolyticus population genomics 方法学先例。实际运行时记录 MUMmer 版本和关键参数。Yang 使用的是 MUMmer v3.23；若使用 MUMmer v4，需注意参数和输出格式兼容性。记录每个 genome 的 aligned/core coverage、missingness、core alignment length。</w:t>
      </w:r>
    </w:p>
    <w:p>
      <w:pPr>
        <w:pStyle w:val="Heading2"/>
        <w:spacing w:before="80" w:after="80" w:line="259" w:lineRule="auto"/>
        <w:keepNext/>
        <w:keepNext/>
      </w:pPr>
      <w:r>
        <w:rPr>
          <w:rFonts w:ascii="Arial" w:hAnsi="Arial" w:eastAsia="Microsoft YaHei"/>
          <w:b w:val="0"/>
          <w:sz w:val="21"/>
        </w:rPr>
        <w:t>Step 9：Repeat Masking</w:t>
      </w:r>
    </w:p>
    <w:p>
      <w:pPr>
        <w:spacing w:before="0" w:after="80" w:line="259" w:lineRule="auto"/>
      </w:pPr>
      <w:r>
        <w:rPr>
          <w:rFonts w:ascii="Arial" w:hAnsi="Arial" w:eastAsia="Microsoft YaHei"/>
          <w:b w:val="0"/>
          <w:sz w:val="21"/>
        </w:rPr>
        <w:t>使用 Tandem Repeats Finder 和 BLASTN self-search 识别 RIMD2210633 中的 repetitive regions。Mask repeats，并移除位于 repetitive regions 中的 SNPs。</w:t>
      </w:r>
    </w:p>
    <w:p>
      <w:pPr>
        <w:pStyle w:val="Heading2"/>
        <w:spacing w:before="80" w:after="80" w:line="259" w:lineRule="auto"/>
        <w:keepNext/>
        <w:keepNext/>
      </w:pPr>
      <w:r>
        <w:rPr>
          <w:rFonts w:ascii="Arial" w:hAnsi="Arial" w:eastAsia="Microsoft YaHei"/>
          <w:b w:val="0"/>
          <w:sz w:val="21"/>
        </w:rPr>
        <w:t>Step 10：Core SNP 提取与阈值测试</w:t>
      </w:r>
    </w:p>
    <w:p>
      <w:pPr>
        <w:spacing w:before="0" w:after="80" w:line="259" w:lineRule="auto"/>
      </w:pPr>
      <w:r>
        <w:rPr>
          <w:rFonts w:ascii="Arial" w:hAnsi="Arial" w:eastAsia="Microsoft YaHei"/>
          <w:b w:val="0"/>
          <w:sz w:val="21"/>
        </w:rPr>
        <w:t>使用 SNP-sites 提取 core SNPs。分别测试 99%、97%、95% presence thresholds。比较不同阈值下的 core alignment size、SNP number、missingness 和 Oceania/global ST50 placement stability。根据这些结果选择最终阈值。</w:t>
      </w:r>
    </w:p>
    <w:p>
      <w:pPr>
        <w:pStyle w:val="Heading2"/>
        <w:spacing w:before="80" w:after="80" w:line="259" w:lineRule="auto"/>
        <w:keepNext/>
        <w:keepNext/>
      </w:pPr>
      <w:r>
        <w:rPr>
          <w:rFonts w:ascii="Arial" w:hAnsi="Arial" w:eastAsia="Microsoft YaHei"/>
          <w:b w:val="0"/>
          <w:sz w:val="21"/>
        </w:rPr>
        <w:t>Step 11：FastTree 建树</w:t>
      </w:r>
    </w:p>
    <w:p>
      <w:pPr>
        <w:spacing w:before="0" w:after="80" w:line="259" w:lineRule="auto"/>
      </w:pPr>
      <w:r>
        <w:rPr>
          <w:rFonts w:ascii="Arial" w:hAnsi="Arial" w:eastAsia="Microsoft YaHei"/>
          <w:b w:val="0"/>
          <w:sz w:val="21"/>
        </w:rPr>
        <w:t>使用 FastTree 构建 first-pass global tree。文中明确描述为 approximate maximum-likelihood tree，不等同于 IQ-TREE/ModelFinder/bootstrap pipeline。该树主要用于 contextual placement，不用于过度解释 whole-species fine branch lengths。</w:t>
      </w:r>
    </w:p>
    <w:p>
      <w:pPr>
        <w:pStyle w:val="Heading2"/>
        <w:spacing w:before="80" w:after="80" w:line="259" w:lineRule="auto"/>
        <w:keepNext/>
        <w:keepNext/>
      </w:pPr>
      <w:r>
        <w:rPr>
          <w:rFonts w:ascii="Arial" w:hAnsi="Arial" w:eastAsia="Microsoft YaHei"/>
          <w:b w:val="0"/>
          <w:sz w:val="21"/>
        </w:rPr>
        <w:t>Step 12：Robustness 验证</w:t>
      </w:r>
    </w:p>
    <w:p>
      <w:pPr>
        <w:spacing w:before="0" w:after="80" w:line="259" w:lineRule="auto"/>
      </w:pPr>
      <w:r>
        <w:rPr>
          <w:rFonts w:ascii="Arial" w:hAnsi="Arial" w:eastAsia="Microsoft YaHei"/>
          <w:b w:val="0"/>
          <w:sz w:val="21"/>
        </w:rPr>
        <w:t>进行 IQ-TREE validation、downsampling stability 和 PopPUNK independent validation。IQ-TREE validation 如计算上可行，在 reduced representative dataset 上使用 IQ-TREE、ModelFinder 和 bootstrap 验证主要 topology；若使用 SNP-only alignment，则使用 +ASC。Downsampling stability 用于比较不同 downsampling choices 下 ST50 placement 是否稳定。PopPUNK independent validation 使用 iterative-PopPUNK 作为平行聚类分析，检查 PopPUNK cluster structure 是否支持 MUMmer tree 中的 ST50 clade 和整体 population structure。</w:t>
      </w:r>
    </w:p>
    <w:p>
      <w:pPr>
        <w:pStyle w:val="Heading2"/>
        <w:spacing w:before="80" w:after="80" w:line="259" w:lineRule="auto"/>
        <w:keepNext/>
        <w:keepNext/>
      </w:pPr>
      <w:r>
        <w:rPr>
          <w:rFonts w:ascii="Arial" w:hAnsi="Arial" w:eastAsia="Microsoft YaHei"/>
          <w:b w:val="0"/>
          <w:sz w:val="21"/>
        </w:rPr>
        <w:t>Step 13：Broader Time-Window Sensitivity Analysis</w:t>
      </w:r>
    </w:p>
    <w:p>
      <w:pPr>
        <w:spacing w:before="0" w:after="80" w:line="259" w:lineRule="auto"/>
      </w:pPr>
      <w:r>
        <w:rPr>
          <w:rFonts w:ascii="Arial" w:hAnsi="Arial" w:eastAsia="Microsoft YaHei"/>
          <w:b w:val="0"/>
          <w:sz w:val="21"/>
        </w:rPr>
        <w:t>由于所有 ST50 genomes 已经纳入主分析，broader time-window sensitivity 不再用于补充 ST50。如需要检验 deeper relationships，可额外纳入 pre-2019 的非 ST50 近缘或关键 contextual lineages，构建 supplementary tree，检查是否改变 ST50 的 global placement。如果主分析中的 ST50 placement 已稳定，且没有明确需要解释的 deeper relationship，可不做该步骤。</w:t>
      </w:r>
    </w:p>
    <w:p>
      <w:pPr>
        <w:pStyle w:val="Heading2"/>
        <w:spacing w:before="80" w:after="80" w:line="259" w:lineRule="auto"/>
        <w:keepNext/>
        <w:keepNext/>
      </w:pPr>
      <w:r>
        <w:rPr>
          <w:rFonts w:ascii="Arial" w:hAnsi="Arial" w:eastAsia="Microsoft YaHei"/>
          <w:b w:val="0"/>
          <w:sz w:val="21"/>
        </w:rPr>
        <w:t>Step 14：可视化</w:t>
      </w:r>
    </w:p>
    <w:p>
      <w:pPr>
        <w:spacing w:before="0" w:after="80" w:line="259" w:lineRule="auto"/>
      </w:pPr>
      <w:r>
        <w:rPr>
          <w:rFonts w:ascii="Arial" w:hAnsi="Arial" w:eastAsia="Microsoft YaHei"/>
          <w:b w:val="0"/>
          <w:sz w:val="21"/>
        </w:rPr>
        <w:t>使用 ggtree 可视化最终 tree。annotation rings 显示 country、year、ST、BioProject，可选加入 PopPUNK cluster。高亮 Oceania ST50 clade，并标注 global ST50 distribution。</w:t>
      </w:r>
    </w:p>
    <w:p>
      <w:pPr>
        <w:pStyle w:val="Heading2"/>
        <w:spacing w:before="80" w:after="80" w:line="259" w:lineRule="auto"/>
        <w:keepNext/>
        <w:keepNext/>
      </w:pPr>
      <w:r>
        <w:rPr>
          <w:rFonts w:ascii="Arial" w:hAnsi="Arial" w:eastAsia="Microsoft YaHei"/>
          <w:b w:val="0"/>
          <w:sz w:val="21"/>
        </w:rPr>
        <w:t>Step 15：解释与限制</w:t>
      </w:r>
    </w:p>
    <w:p>
      <w:pPr>
        <w:spacing w:before="0" w:after="80" w:line="259" w:lineRule="auto"/>
      </w:pPr>
      <w:r>
        <w:rPr>
          <w:rFonts w:ascii="Arial" w:hAnsi="Arial" w:eastAsia="Microsoft YaHei"/>
          <w:b w:val="0"/>
          <w:sz w:val="21"/>
        </w:rPr>
        <w:t>Global tree 解释为 broad contextual species-level phylogeny。跨 ST global tree 不做 broad-scale recombination removal，因为 divergent STs 间 recombination detection 困难，可能移除大量 signal。该点写入 limitation。Fine-scale outbreak relationships 仍以 ST50 recombination-filtered tree 为准。同时说明该分析使用单一 reference RIMD2210633/ST3 进行 reference-guided core SNP alignment，因此可能存在 reference bias；该风险通过 core coverage、missingness、core threshold comparison、downsampling stability 和 PopPUNK independent clustering 进行评估。</w:t>
      </w:r>
    </w:p>
    <w:p>
      <w:pPr>
        <w:pStyle w:val="Heading1"/>
        <w:spacing w:before="140" w:after="80" w:line="259" w:lineRule="auto"/>
        <w:keepNext/>
        <w:keepNext/>
      </w:pPr>
      <w:r>
        <w:rPr>
          <w:rFonts w:ascii="Arial" w:hAnsi="Arial" w:eastAsia="Microsoft YaHei"/>
          <w:b w:val="0"/>
          <w:sz w:val="21"/>
        </w:rPr>
        <w:t>Charles Review Checkpoints</w:t>
      </w:r>
    </w:p>
    <w:p>
      <w:pPr>
        <w:pStyle w:val="Heading2"/>
        <w:spacing w:before="80" w:after="80" w:line="259" w:lineRule="auto"/>
        <w:keepNext/>
        <w:keepNext/>
      </w:pPr>
      <w:r>
        <w:rPr>
          <w:rFonts w:ascii="Arial" w:hAnsi="Arial" w:eastAsia="Microsoft YaHei"/>
          <w:b w:val="0"/>
          <w:sz w:val="21"/>
        </w:rPr>
        <w:t>Checkpoint 1：建树前</w:t>
      </w:r>
    </w:p>
    <w:p>
      <w:pPr>
        <w:spacing w:before="0" w:after="80" w:line="259" w:lineRule="auto"/>
      </w:pPr>
      <w:r>
        <w:rPr>
          <w:rFonts w:ascii="Arial" w:hAnsi="Arial" w:eastAsia="Microsoft YaHei"/>
          <w:b w:val="0"/>
          <w:sz w:val="21"/>
        </w:rPr>
        <w:t>发送 QC summary、country/year/BioProject/ST distribution、all-ST50 retention record、downsampling logic 给 Charles review。</w:t>
      </w:r>
    </w:p>
    <w:p>
      <w:pPr>
        <w:pStyle w:val="Heading2"/>
        <w:spacing w:before="80" w:after="80" w:line="259" w:lineRule="auto"/>
        <w:keepNext/>
        <w:keepNext/>
      </w:pPr>
      <w:r>
        <w:rPr>
          <w:rFonts w:ascii="Arial" w:hAnsi="Arial" w:eastAsia="Microsoft YaHei"/>
          <w:b w:val="0"/>
          <w:sz w:val="21"/>
        </w:rPr>
        <w:t>Checkpoint 2：first-pass tree 后</w:t>
      </w:r>
    </w:p>
    <w:p>
      <w:pPr>
        <w:spacing w:before="0" w:after="80" w:line="259" w:lineRule="auto"/>
      </w:pPr>
      <w:r>
        <w:rPr>
          <w:rFonts w:ascii="Arial" w:hAnsi="Arial" w:eastAsia="Microsoft YaHei"/>
          <w:b w:val="0"/>
          <w:sz w:val="21"/>
        </w:rPr>
        <w:t>发送 preliminary FastTree、global ST50/Oceania ST50 placement、core SNP threshold comparison、是否需要 non-ST50 broader-time-window sensitivity analysis 给 Charles review。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i/>
        <w:sz w:val="16"/>
      </w:rPr>
      <w:t>Global Vp background tree pipeline - Chinese final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80"/>
    </w:pPr>
    <w:rPr>
      <w:rFonts w:ascii="Arial" w:hAnsi="Arial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