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 regression observations</w:t>
      </w:r>
    </w:p>
    <w:p>
      <w:r>
        <w:t>Best primary observed result: D, macro F1 0.9032 (0.0147). It has the highest observed mean across all saved variants. B performs better under severe lead loss; there is no single best arm for every condition.</w:t>
      </w:r>
    </w:p>
    <w:p>
      <w:pPr>
        <w:pStyle w:val="Heading1"/>
      </w:pPr>
      <w:r>
        <w:t>Experiment and observed results</w:t>
      </w:r>
    </w:p>
    <w:p>
      <w:r>
        <w:t>The cohort contains 21,799 ECGs from 18,869 patients; 6.95% are AFIB-labelled. This class imbalance makes macro F1 and class-specific errors more informative than accuracy alone.</w:t>
      </w:r>
    </w:p>
    <w:p>
      <w:r>
        <w:t>A: original measurements; B: original plus engineered fields; C: A with augmentation; D: B with augmentation. There are 504 original lead fields and 63 engineered fields. Augmentation adds one corrupted training view per ECG with total weight preserved.</w:t>
      </w:r>
    </w:p>
    <w:p>
      <w:r>
        <w:t>Primary results use threshold 0.50, 10 outer patient folds and 3 inner folds. Filling, scaling and selection use training patients only. Three stress repeats are averaged within each fold, then summarized by mean and sample SD. SD is not a confidence interval.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551"/>
        <w:gridCol w:w="2211"/>
        <w:gridCol w:w="2211"/>
        <w:gridCol w:w="2211"/>
      </w:tblGrid>
      <w:tr>
        <w:trPr>
          <w:tblHeader/>
          <w:cantSplit/>
        </w:trPr>
        <w:tc>
          <w:tcPr>
            <w:tcW w:type="dxa" w:w="680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Arm</w:t>
            </w:r>
          </w:p>
        </w:tc>
        <w:tc>
          <w:tcPr>
            <w:tcW w:type="dxa" w:w="255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Macro F1 (SD)</w:t>
            </w:r>
          </w:p>
        </w:tc>
        <w:tc>
          <w:tcPr>
            <w:tcW w:type="dxa" w:w="221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221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221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Brier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255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0.8950 (0.0171)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0.9570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0.9691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0.0258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55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0.9003 (0.0151)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0.9477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0.9721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0.0237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55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0.8984 (0.0181)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0.9541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0.9707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0.0248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255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0.9032 (0.0147)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0.9530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0.9727</w:t>
            </w:r>
          </w:p>
        </w:tc>
        <w:tc>
          <w:tcPr>
            <w:tcW w:type="dxa" w:w="221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0.0234</w:t>
            </w:r>
          </w:p>
        </w:tc>
      </w:tr>
    </w:tbl>
    <w:p>
      <w:r>
        <w:t>Higher macro F1, sensitivity and specificity are better; lower Brier means lower probability error.</w:t>
      </w:r>
    </w:p>
    <w:p>
      <w:r>
        <w:t>B minus A F1 is +0.0053; D minus B is +0.0028. Engineered fields supply relationships a linear decision function cannot construct itself. The results support their usefulness, without identifying which feature family produced the gain.</w:t>
      </w:r>
    </w:p>
    <w:p>
      <w:pPr>
        <w:pStyle w:val="Heading1"/>
      </w:pPr>
      <w:r>
        <w:t>Tuning and optimization</w:t>
      </w:r>
    </w:p>
    <w:p>
      <w:r>
        <w:t>Weighted L2 logistic regression used L-BFGS, up to 2,000 iterations, and initial C values 0.01, 0.1 and 1, with one boundary refinement. Larger C weakens regularization. Selection used mean inner observed macro F1 at 0.50.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92"/>
        <w:gridCol w:w="2381"/>
      </w:tblGrid>
      <w:tr>
        <w:trPr>
          <w:tblHeader/>
          <w:cantSplit/>
        </w:trPr>
        <w:tc>
          <w:tcPr>
            <w:tcW w:type="dxa" w:w="289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Variant</w:t>
            </w:r>
          </w:p>
        </w:tc>
        <w:tc>
          <w:tcPr>
            <w:tcW w:type="dxa" w:w="4592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Setting and fold count</w:t>
            </w:r>
          </w:p>
        </w:tc>
        <w:tc>
          <w:tcPr>
            <w:tcW w:type="dxa" w:w="2381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Selected inner F1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0.01: 1; 0.1: 9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0.8939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0.1: 10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0.9003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0.1: 7; 1: 3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0.8967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0.1: 9; 1: 1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0.9015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availability observed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0.01: 1; 0.1: 9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0.8939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availability augmented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0.1: 7; 1: 3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0.8967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duplicate original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0.01: 1; 0.1: 9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0.8940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duplicate enhanced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0.1: 10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0.9004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ridge</w:t>
            </w:r>
          </w:p>
        </w:tc>
        <w:tc>
          <w:tcPr>
            <w:tcW w:type="dxa" w:w="4592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0.01: 1; 0.1: 9</w:t>
            </w:r>
          </w:p>
        </w:tc>
        <w:tc>
          <w:tcPr>
            <w:tcW w:type="dxa" w:w="2381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0.8943</w:t>
            </w:r>
          </w:p>
        </w:tc>
      </w:tr>
    </w:tbl>
    <w:p>
      <w:r>
        <w:t>11/90 selections triggered boundary refinement; 90/90 selected the middle of the final grid. Inner F1 averages each fold's selected candidate score; it is selection evidence, not an unbiased generalization estimate. Refined candidates have unequal fold coverage; their aggregate scores cannot establish one globally best setting.</w:t>
      </w:r>
    </w:p>
    <w:p>
      <w:r>
        <w:t>All 933 saved fits converged; maximum absolute gradient was 1e-05. This confirms numerical completion of the specified search, not optimality across other model or feature choices.</w:t>
      </w:r>
    </w:p>
    <w:p>
      <w:r>
        <w:br w:type="page"/>
      </w:r>
    </w:p>
    <w:p>
      <w:pPr>
        <w:pStyle w:val="Heading1"/>
      </w:pPr>
      <w:r>
        <w:t>Robustness and additional outputs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587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3515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587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587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1587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1587"/>
            <w:shd w:fill="E8EEF3"/>
          </w:tcPr>
          <w:p>
            <w:pPr>
              <w:spacing w:after="80" w:before="80" w:line="240" w:lineRule="auto"/>
            </w:pPr>
            <w:r>
              <w:rPr>
                <w:b/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Observed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0.8950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0.9003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0.8984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0.9032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1 missing lead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0.8999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0.8991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0.8937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0.8976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3 missing leads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0.8915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0.8919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0.8807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0.8870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6 missing leads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0.7346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0.8605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0.8339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0.8501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Noise 0.05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0.8953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0.9010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0.8991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0.9031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Noise 0.10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0.8946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0.9010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0.8973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0.9032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Noise 0.20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0.8905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0.9014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0.8915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0.9021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Gain 0.05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0.8951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0.9002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0.8984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0.9029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Gain 0.10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0.8947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0.8975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0.9026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Gain 0.20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0.8934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0.8987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0.8973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0.9009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3 leads + noise 0.10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0.8906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0.8908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0.8799</w:t>
            </w:r>
          </w:p>
        </w:tc>
        <w:tc>
          <w:tcPr>
            <w:tcW w:type="dxa" w:w="1587"/>
          </w:tcPr>
          <w:p>
            <w:pPr>
              <w:spacing w:after="80" w:before="80" w:line="240" w:lineRule="auto"/>
            </w:pPr>
            <w:r>
              <w:rPr>
                <w:sz w:val="18"/>
              </w:rPr>
              <w:t>0.8878</w:t>
            </w:r>
          </w:p>
        </w:tc>
      </w:tr>
    </w:tbl>
    <w:p>
      <w:r>
        <w:t>Noise SD is the listed dose times the training-field IQR; gain is exp(dose times a standard-normal draw). Perturbations act on measurement tables, not raw ECG waveforms. Small F1 rises under mild corruption can reflect shifted threshold errors; they do not establish better measurement quality.</w:t>
      </w:r>
    </w:p>
    <w:p>
      <w:r>
        <w:t>With six leads missing, B F1 is 0.8605 versus D 0.8501. D retains sensitivity 0.9206, but specificity falls to 0.9541. Augmentation trades fewer missed positives for more false positives, reducing F1 in this condition.</w:t>
      </w:r>
    </w:p>
    <w:p>
      <w:r>
        <w:t>B exceeds its availability control by 0.0053 observed F1. That control retains original predictors and engineered missingness indicators but zeroes engineered values. Half-weight duplicates reproduce observed F1, consistent with an unchanged logistic objective.</w:t>
      </w:r>
    </w:p>
    <w:p>
      <w:r>
        <w:t>Ridge filling reaches observed F1 0.8947 and three-lead-loss F1 0.8974 (A: 0.8950 and 0.8915). Only these two downstream conditions were tested. Reconstruction error improves over median filling for cell masking and 1, 3 and 6 missing leads; better reconstruction alone does not establish a better classifier.</w:t>
      </w:r>
    </w:p>
    <w:p>
      <w:r>
        <w:t>IQR-normalized reconstruction MAE, median to ridge: 10% cell masking 0.7349 to 0.4311; six missing leads 0.7351 to 0.6969. Only eligible masked continuous cells are scored.</w:t>
      </w:r>
    </w:p>
    <w:p>
      <w:r>
        <w:t>The inner-OOF sensitivity-target rule gives D observed F1 0.9185, sensitivity 0.9153 and specificity 0.9820. The 0.90 sensitivity target was met in 7/10 observed outer folds. This secondary operating point does not replace the primary ranking.</w:t>
      </w:r>
    </w:p>
    <w:p>
      <w:r>
        <w:t>D patient-weighted F1 is 0.9028. F1 is 0.8996 with recorded quality flags and 0.9038 without flags. Flag absence does not establish clean signals; subgroup composition may differ.</w:t>
      </w:r>
    </w:p>
    <w:p>
      <w:pPr>
        <w:pStyle w:val="Heading1"/>
      </w:pPr>
      <w:r>
        <w:t>Next improvements and rationale</w:t>
      </w:r>
    </w:p>
    <w:p>
      <w:r>
        <w:t>1. Tune augmentation dose and mixture inside training folds to reduce specificity loss under lead removal. 2. Test feature-family ablations and elastic-net regularization to identify useful predictors and control redundancy. 3. Fit calibration and thresholds inside training folds to compare sensitivity at a fixed false-positive budget. 4. Repeat patient splits and test external data to quantify uncertainty and transfer beyond synthetic corruption.</w:t>
      </w:r>
    </w:p>
    <w:p>
      <w:r>
        <w:t>The one-fold pilot is a workflow check, not additional ten-fold evidence. External validation and statistical superiority are not established.</w:t>
      </w:r>
    </w:p>
    <w:p>
      <w:r>
        <w:t>Evidence: results/logistic_regression/output_data/summary.csv, selected_hyperparameters.csv, paired_method_differences.csv, patient_weighted_metrics_summary.csv, quality_subgroups_summary.csv; run_config.json and reports/completion.json. Rebuild: python scripts/build_model_observations.py.</w:t>
      </w:r>
    </w:p>
    <w:p>
      <w:r>
        <w:t>Ridge reconstruction evidence: output_data/recovery_summary.csv in the same result folder.</w:t>
      </w:r>
    </w:p>
    <w:sectPr w:rsidR="00FC693F" w:rsidRPr="0006063C" w:rsidSect="00034616"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 regression observations</dc:title>
  <dc:subject>Results, limitations and further evaluation</dc:subject>
  <dc:creator>COMP90051 project team</dc:creator>
  <cp:keywords/>
  <dc:description>generated by python-docx</dc:description>
  <cp:lastModifiedBy/>
  <cp:revision>1</cp:revision>
  <dcterms:created xsi:type="dcterms:W3CDTF">2026-10-15T00:00:00Z</dcterms:created>
  <dcterms:modified xsi:type="dcterms:W3CDTF">2026-10-15T00:00:00Z</dcterms:modified>
  <cp:category/>
</cp:coreProperties>
</file>