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ECG dataset insights</w:t>
      </w:r>
    </w:p>
    <w:p>
      <w:pPr>
        <w:pStyle w:val="Normal"/>
        <w:spacing w:before="0" w:after="40"/>
        <w:rPr/>
      </w:pPr>
      <w:r>
        <w:rPr>
          <w:sz w:val="18"/>
        </w:rPr>
        <w:t>Aaditya Pathak 1704373  |  Siwen Wang 1721961  |  Jiayi Huang 1668763</w:t>
      </w:r>
    </w:p>
    <w:p>
      <w:pPr>
        <w:pStyle w:val="Normal"/>
        <w:rPr/>
      </w:pPr>
      <w:r>
        <w:rPr>
          <w:sz w:val="18"/>
        </w:rPr>
        <w:t>COMP90051 Statistical Machine Learning  |  8 October 2026</w:t>
      </w:r>
    </w:p>
    <w:p>
      <w:pPr>
        <w:pStyle w:val="Normal"/>
        <w:rPr/>
      </w:pPr>
      <w:r>
        <w:rPr/>
        <w:t>The dataset contains ECGs and fields for the project, but AFIB is uncommon and incomplete measurements are frequent. These findings explain why raw accuracy alone is insufficient and why missingness must be retained and described. They are descriptive observations, not model results.</w:t>
      </w:r>
    </w:p>
    <w:p>
      <w:pPr>
        <w:pStyle w:val="Heading1"/>
        <w:rPr/>
      </w:pPr>
      <w:r>
        <w:rPr/>
        <w:t>Cohort and target</w:t>
      </w:r>
    </w:p>
    <w:tbl>
      <w:tblPr>
        <w:tblW w:w="9865" w:type="dxa"/>
        <w:jc w:val="center"/>
        <w:tblInd w:w="0" w:type="dxa"/>
        <w:tblLayout w:type="fixed"/>
        <w:tblCellMar>
          <w:top w:w="80" w:type="dxa"/>
          <w:left w:w="100" w:type="dxa"/>
          <w:bottom w:w="80" w:type="dxa"/>
          <w:right w:w="100" w:type="dxa"/>
        </w:tblCellMar>
        <w:tblLook w:firstRow="1" w:noVBand="1" w:lastRow="0" w:firstColumn="1" w:lastColumn="0" w:noHBand="0" w:val="04a0"/>
      </w:tblPr>
      <w:tblGrid>
        <w:gridCol w:w="5896"/>
        <w:gridCol w:w="3968"/>
      </w:tblGrid>
      <w:tr>
        <w:trPr>
          <w:tblHeader w:val="true"/>
          <w:cantSplit w:val="true"/>
        </w:trPr>
        <w:tc>
          <w:tcPr>
            <w:tcW w:w="5896" w:type="dxa"/>
            <w:tcBorders>
              <w:top w:val="single" w:sz="4" w:space="0" w:color="D9D9D9"/>
              <w:left w:val="single" w:sz="4" w:space="0" w:color="D9D9D9"/>
              <w:bottom w:val="single" w:sz="4" w:space="0" w:color="D9D9D9"/>
              <w:right w:val="single" w:sz="4" w:space="0" w:color="D9D9D9"/>
            </w:tcBorders>
            <w:shd w:fill="DBE5ED"/>
            <w:vAlign w:val="center"/>
          </w:tcPr>
          <w:p>
            <w:pPr>
              <w:pStyle w:val="Normal"/>
              <w:widowControl w:val="false"/>
              <w:spacing w:lineRule="auto" w:line="252" w:before="0" w:after="0"/>
              <w:rPr/>
            </w:pPr>
            <w:r>
              <w:rPr>
                <w:b/>
                <w:color w:val="000000"/>
                <w:sz w:val="19"/>
              </w:rPr>
              <w:t>Measure</w:t>
            </w:r>
          </w:p>
        </w:tc>
        <w:tc>
          <w:tcPr>
            <w:tcW w:w="3968" w:type="dxa"/>
            <w:tcBorders>
              <w:top w:val="single" w:sz="4" w:space="0" w:color="D9D9D9"/>
              <w:left w:val="single" w:sz="4" w:space="0" w:color="D9D9D9"/>
              <w:bottom w:val="single" w:sz="4" w:space="0" w:color="D9D9D9"/>
              <w:right w:val="single" w:sz="4" w:space="0" w:color="D9D9D9"/>
            </w:tcBorders>
            <w:shd w:fill="DBE5ED"/>
            <w:vAlign w:val="center"/>
          </w:tcPr>
          <w:p>
            <w:pPr>
              <w:pStyle w:val="Normal"/>
              <w:widowControl w:val="false"/>
              <w:spacing w:lineRule="auto" w:line="252" w:before="0" w:after="0"/>
              <w:rPr/>
            </w:pPr>
            <w:r>
              <w:rPr>
                <w:b/>
                <w:color w:val="000000"/>
                <w:sz w:val="19"/>
              </w:rPr>
              <w:t>Observed value</w:t>
            </w:r>
          </w:p>
        </w:tc>
      </w:tr>
      <w:tr>
        <w:trPr>
          <w:cantSplit w:val="true"/>
        </w:trPr>
        <w:tc>
          <w:tcPr>
            <w:tcW w:w="5896"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ECG recordings</w:t>
            </w:r>
          </w:p>
        </w:tc>
        <w:tc>
          <w:tcPr>
            <w:tcW w:w="3968"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21,799</w:t>
            </w:r>
          </w:p>
        </w:tc>
      </w:tr>
      <w:tr>
        <w:trPr>
          <w:cantSplit w:val="true"/>
        </w:trPr>
        <w:tc>
          <w:tcPr>
            <w:tcW w:w="5896"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Unique patients</w:t>
            </w:r>
          </w:p>
        </w:tc>
        <w:tc>
          <w:tcPr>
            <w:tcW w:w="3968"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18,869</w:t>
            </w:r>
          </w:p>
        </w:tc>
      </w:tr>
      <w:tr>
        <w:trPr>
          <w:cantSplit w:val="true"/>
        </w:trPr>
        <w:tc>
          <w:tcPr>
            <w:tcW w:w="5896"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AFIB recordings</w:t>
            </w:r>
          </w:p>
        </w:tc>
        <w:tc>
          <w:tcPr>
            <w:tcW w:w="3968"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1,514  (6.95%)</w:t>
            </w:r>
          </w:p>
        </w:tc>
      </w:tr>
      <w:tr>
        <w:trPr>
          <w:cantSplit w:val="true"/>
        </w:trPr>
        <w:tc>
          <w:tcPr>
            <w:tcW w:w="5896"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Recordings without an AFIB label</w:t>
            </w:r>
          </w:p>
        </w:tc>
        <w:tc>
          <w:tcPr>
            <w:tcW w:w="3968"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20,285  (93.05%)</w:t>
            </w:r>
          </w:p>
        </w:tc>
      </w:tr>
      <w:tr>
        <w:trPr>
          <w:cantSplit w:val="true"/>
        </w:trPr>
        <w:tc>
          <w:tcPr>
            <w:tcW w:w="5896"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Source feature fields</w:t>
            </w:r>
          </w:p>
        </w:tc>
        <w:tc>
          <w:tcPr>
            <w:tcW w:w="3968"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531  (504 lead fields and 27 Global fields)</w:t>
            </w:r>
          </w:p>
        </w:tc>
      </w:tr>
      <w:tr>
        <w:trPr>
          <w:cantSplit w:val="true"/>
        </w:trPr>
        <w:tc>
          <w:tcPr>
            <w:tcW w:w="5896"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Records removed during checks</w:t>
            </w:r>
          </w:p>
        </w:tc>
        <w:tc>
          <w:tcPr>
            <w:tcW w:w="3968"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0</w:t>
            </w:r>
          </w:p>
        </w:tc>
      </w:tr>
    </w:tbl>
    <w:p>
      <w:pPr>
        <w:pStyle w:val="Normal"/>
        <w:spacing w:before="0" w:after="0"/>
        <w:rPr/>
      </w:pPr>
      <w:r>
        <w:rPr/>
      </w:r>
    </w:p>
    <w:p>
      <w:pPr>
        <w:pStyle w:val="Normal"/>
        <w:rPr/>
      </w:pPr>
      <w:r>
        <w:rPr/>
        <w:t>An always-negative classifier would achieve 93.05% accuracy while missing every AFIB record. Non-AFIB records can contain other cardiac conditions. The target is presence of the AFIB annotation, including codes with likelihood zero.</w:t>
      </w:r>
    </w:p>
    <w:p>
      <w:pPr>
        <w:pStyle w:val="Normal"/>
        <w:rPr/>
      </w:pPr>
      <w:r>
        <w:rPr/>
        <w:t>There are 2,930 recordings beyond one per patient. For 168 patients, the AFIB label differs between recordings. Each ECG retains its own label, and repeated recordings must remain together when data are divided for modelling.</w:t>
      </w:r>
    </w:p>
    <w:p>
      <w:pPr>
        <w:pStyle w:val="Heading1"/>
        <w:rPr/>
      </w:pPr>
      <w:r>
        <w:rPr/>
        <w:t>Missing measurements</w:t>
      </w:r>
    </w:p>
    <w:tbl>
      <w:tblPr>
        <w:tblW w:w="9864" w:type="dxa"/>
        <w:jc w:val="center"/>
        <w:tblInd w:w="0" w:type="dxa"/>
        <w:tblLayout w:type="fixed"/>
        <w:tblCellMar>
          <w:top w:w="80" w:type="dxa"/>
          <w:left w:w="100" w:type="dxa"/>
          <w:bottom w:w="80" w:type="dxa"/>
          <w:right w:w="100" w:type="dxa"/>
        </w:tblCellMar>
        <w:tblLook w:firstRow="1" w:noVBand="1" w:lastRow="0" w:firstColumn="1" w:lastColumn="0" w:noHBand="0" w:val="04a0"/>
      </w:tblPr>
      <w:tblGrid>
        <w:gridCol w:w="6803"/>
        <w:gridCol w:w="3060"/>
      </w:tblGrid>
      <w:tr>
        <w:trPr>
          <w:tblHeader w:val="true"/>
          <w:cantSplit w:val="true"/>
        </w:trPr>
        <w:tc>
          <w:tcPr>
            <w:tcW w:w="6803" w:type="dxa"/>
            <w:tcBorders>
              <w:top w:val="single" w:sz="4" w:space="0" w:color="D9D9D9"/>
              <w:left w:val="single" w:sz="4" w:space="0" w:color="D9D9D9"/>
              <w:bottom w:val="single" w:sz="4" w:space="0" w:color="D9D9D9"/>
              <w:right w:val="single" w:sz="4" w:space="0" w:color="D9D9D9"/>
            </w:tcBorders>
            <w:shd w:fill="DBE5ED"/>
            <w:vAlign w:val="center"/>
          </w:tcPr>
          <w:p>
            <w:pPr>
              <w:pStyle w:val="Normal"/>
              <w:widowControl w:val="false"/>
              <w:spacing w:lineRule="auto" w:line="252" w:before="0" w:after="0"/>
              <w:rPr/>
            </w:pPr>
            <w:r>
              <w:rPr>
                <w:b/>
                <w:color w:val="000000"/>
                <w:sz w:val="19"/>
              </w:rPr>
              <w:t>Measure</w:t>
            </w:r>
          </w:p>
        </w:tc>
        <w:tc>
          <w:tcPr>
            <w:tcW w:w="3060" w:type="dxa"/>
            <w:tcBorders>
              <w:top w:val="single" w:sz="4" w:space="0" w:color="D9D9D9"/>
              <w:left w:val="single" w:sz="4" w:space="0" w:color="D9D9D9"/>
              <w:bottom w:val="single" w:sz="4" w:space="0" w:color="D9D9D9"/>
              <w:right w:val="single" w:sz="4" w:space="0" w:color="D9D9D9"/>
            </w:tcBorders>
            <w:shd w:fill="DBE5ED"/>
            <w:vAlign w:val="center"/>
          </w:tcPr>
          <w:p>
            <w:pPr>
              <w:pStyle w:val="Normal"/>
              <w:widowControl w:val="false"/>
              <w:spacing w:lineRule="auto" w:line="252" w:before="0" w:after="0"/>
              <w:rPr/>
            </w:pPr>
            <w:r>
              <w:rPr>
                <w:b/>
                <w:color w:val="000000"/>
                <w:sz w:val="19"/>
              </w:rPr>
              <w:t>Observed value</w:t>
            </w:r>
          </w:p>
        </w:tc>
      </w:tr>
      <w:tr>
        <w:trPr>
          <w:cantSplit w:val="true"/>
        </w:trPr>
        <w:tc>
          <w:tcPr>
            <w:tcW w:w="6803"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ECGs with a gap among 531 fields</w:t>
            </w:r>
          </w:p>
        </w:tc>
        <w:tc>
          <w:tcPr>
            <w:tcW w:w="3060"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10,700  (49.08%)</w:t>
            </w:r>
          </w:p>
        </w:tc>
      </w:tr>
      <w:tr>
        <w:trPr>
          <w:cantSplit w:val="true"/>
        </w:trPr>
        <w:tc>
          <w:tcPr>
            <w:tcW w:w="6803"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Missing cells across all 531 fields</w:t>
            </w:r>
          </w:p>
        </w:tc>
        <w:tc>
          <w:tcPr>
            <w:tcW w:w="3060"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286,584  (2.48%)</w:t>
            </w:r>
          </w:p>
        </w:tc>
      </w:tr>
      <w:tr>
        <w:trPr>
          <w:cantSplit w:val="true"/>
        </w:trPr>
        <w:tc>
          <w:tcPr>
            <w:tcW w:w="6803"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Missing cells across 504 lead fields</w:t>
            </w:r>
          </w:p>
        </w:tc>
        <w:tc>
          <w:tcPr>
            <w:tcW w:w="3060"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2.61%</w:t>
            </w:r>
          </w:p>
        </w:tc>
      </w:tr>
      <w:tr>
        <w:trPr>
          <w:cantSplit w:val="true"/>
        </w:trPr>
        <w:tc>
          <w:tcPr>
            <w:tcW w:w="6803"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Missing P morphology value and IQR codes</w:t>
            </w:r>
          </w:p>
        </w:tc>
        <w:tc>
          <w:tcPr>
            <w:tcW w:w="3060"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39.26%</w:t>
            </w:r>
          </w:p>
        </w:tc>
      </w:tr>
      <w:tr>
        <w:trPr>
          <w:cantSplit w:val="true"/>
        </w:trPr>
        <w:tc>
          <w:tcPr>
            <w:tcW w:w="6803"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Missing ST elevation value and IQR fields</w:t>
            </w:r>
          </w:p>
        </w:tc>
        <w:tc>
          <w:tcPr>
            <w:tcW w:w="3060"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15.50%</w:t>
            </w:r>
          </w:p>
        </w:tc>
      </w:tr>
      <w:tr>
        <w:trPr>
          <w:cantSplit w:val="true"/>
        </w:trPr>
        <w:tc>
          <w:tcPr>
            <w:tcW w:w="6803"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Missing cells across 480 numerical lead fields</w:t>
            </w:r>
          </w:p>
        </w:tc>
        <w:tc>
          <w:tcPr>
            <w:tcW w:w="3060"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0.78%</w:t>
            </w:r>
          </w:p>
        </w:tc>
      </w:tr>
    </w:tbl>
    <w:p>
      <w:pPr>
        <w:pStyle w:val="Normal"/>
        <w:spacing w:before="0" w:after="0"/>
        <w:rPr/>
      </w:pPr>
      <w:r>
        <w:rPr/>
      </w:r>
    </w:p>
    <w:p>
      <w:pPr>
        <w:pStyle w:val="Normal"/>
        <w:rPr/>
      </w:pPr>
      <w:r>
        <w:rPr/>
        <w:t>Nearly half of the ECGs have at least one missing field, even though most individual cells are populated. Gaps are concentrated in particular measurement families. Removing every incomplete ECG would discard a large fraction of the cohort. A gap alone does not establish an extraction failure or its physiological cause.</w:t>
      </w:r>
    </w:p>
    <w:p>
      <w:pPr>
        <w:pStyle w:val="Normal"/>
        <w:rPr/>
      </w:pPr>
      <w:r>
        <w:rPr/>
      </w:r>
      <w:r>
        <w:br w:type="page"/>
      </w:r>
    </w:p>
    <w:p>
      <w:pPr>
        <w:pStyle w:val="Heading1"/>
        <w:rPr/>
      </w:pPr>
      <w:r>
        <w:rPr/>
        <w:t>Recorded signal quality</w:t>
      </w:r>
    </w:p>
    <w:p>
      <w:pPr>
        <w:pStyle w:val="Normal"/>
        <w:rPr/>
      </w:pPr>
      <w:r>
        <w:rPr/>
        <w:t>At least one quality issue is recorded for 5,010 ECGs (22.98%). The flags overlap, so the group counts below must not be added together. A blank flag is not proof that an ECG is clean, and a flag does not specify noise strength.</w:t>
      </w:r>
    </w:p>
    <w:tbl>
      <w:tblPr>
        <w:tblW w:w="9864" w:type="dxa"/>
        <w:jc w:val="center"/>
        <w:tblInd w:w="0" w:type="dxa"/>
        <w:tblLayout w:type="fixed"/>
        <w:tblCellMar>
          <w:top w:w="80" w:type="dxa"/>
          <w:left w:w="100" w:type="dxa"/>
          <w:bottom w:w="80" w:type="dxa"/>
          <w:right w:w="100" w:type="dxa"/>
        </w:tblCellMar>
        <w:tblLook w:firstRow="1" w:noVBand="1" w:lastRow="0" w:firstColumn="1" w:lastColumn="0" w:noHBand="0" w:val="04a0"/>
      </w:tblPr>
      <w:tblGrid>
        <w:gridCol w:w="6803"/>
        <w:gridCol w:w="3060"/>
      </w:tblGrid>
      <w:tr>
        <w:trPr>
          <w:tblHeader w:val="true"/>
          <w:cantSplit w:val="true"/>
        </w:trPr>
        <w:tc>
          <w:tcPr>
            <w:tcW w:w="6803" w:type="dxa"/>
            <w:tcBorders>
              <w:top w:val="single" w:sz="4" w:space="0" w:color="D9D9D9"/>
              <w:left w:val="single" w:sz="4" w:space="0" w:color="D9D9D9"/>
              <w:bottom w:val="single" w:sz="4" w:space="0" w:color="D9D9D9"/>
              <w:right w:val="single" w:sz="4" w:space="0" w:color="D9D9D9"/>
            </w:tcBorders>
            <w:shd w:fill="DBE5ED"/>
            <w:vAlign w:val="center"/>
          </w:tcPr>
          <w:p>
            <w:pPr>
              <w:pStyle w:val="Normal"/>
              <w:widowControl w:val="false"/>
              <w:spacing w:lineRule="auto" w:line="252" w:before="0" w:after="0"/>
              <w:rPr/>
            </w:pPr>
            <w:r>
              <w:rPr>
                <w:b/>
                <w:color w:val="000000"/>
                <w:sz w:val="19"/>
              </w:rPr>
              <w:t>Quality flag</w:t>
            </w:r>
          </w:p>
        </w:tc>
        <w:tc>
          <w:tcPr>
            <w:tcW w:w="3060" w:type="dxa"/>
            <w:tcBorders>
              <w:top w:val="single" w:sz="4" w:space="0" w:color="D9D9D9"/>
              <w:left w:val="single" w:sz="4" w:space="0" w:color="D9D9D9"/>
              <w:bottom w:val="single" w:sz="4" w:space="0" w:color="D9D9D9"/>
              <w:right w:val="single" w:sz="4" w:space="0" w:color="D9D9D9"/>
            </w:tcBorders>
            <w:shd w:fill="DBE5ED"/>
            <w:vAlign w:val="center"/>
          </w:tcPr>
          <w:p>
            <w:pPr>
              <w:pStyle w:val="Normal"/>
              <w:widowControl w:val="false"/>
              <w:spacing w:lineRule="auto" w:line="252" w:before="0" w:after="0"/>
              <w:rPr/>
            </w:pPr>
            <w:r>
              <w:rPr>
                <w:b/>
                <w:color w:val="000000"/>
                <w:sz w:val="19"/>
              </w:rPr>
              <w:t>ECG count</w:t>
            </w:r>
          </w:p>
        </w:tc>
      </w:tr>
      <w:tr>
        <w:trPr>
          <w:cantSplit w:val="true"/>
        </w:trPr>
        <w:tc>
          <w:tcPr>
            <w:tcW w:w="6803"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Static noise</w:t>
            </w:r>
          </w:p>
        </w:tc>
        <w:tc>
          <w:tcPr>
            <w:tcW w:w="3060"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3,260</w:t>
            </w:r>
          </w:p>
        </w:tc>
      </w:tr>
      <w:tr>
        <w:trPr>
          <w:cantSplit w:val="true"/>
        </w:trPr>
        <w:tc>
          <w:tcPr>
            <w:tcW w:w="6803"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Baseline drift</w:t>
            </w:r>
          </w:p>
        </w:tc>
        <w:tc>
          <w:tcPr>
            <w:tcW w:w="3060"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1,598</w:t>
            </w:r>
          </w:p>
        </w:tc>
      </w:tr>
      <w:tr>
        <w:trPr>
          <w:cantSplit w:val="true"/>
        </w:trPr>
        <w:tc>
          <w:tcPr>
            <w:tcW w:w="6803"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Burst noise</w:t>
            </w:r>
          </w:p>
        </w:tc>
        <w:tc>
          <w:tcPr>
            <w:tcW w:w="3060"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612</w:t>
            </w:r>
          </w:p>
        </w:tc>
      </w:tr>
      <w:tr>
        <w:trPr>
          <w:cantSplit w:val="true"/>
        </w:trPr>
        <w:tc>
          <w:tcPr>
            <w:tcW w:w="6803"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Electrode problems</w:t>
            </w:r>
          </w:p>
        </w:tc>
        <w:tc>
          <w:tcPr>
            <w:tcW w:w="3060" w:type="dxa"/>
            <w:tcBorders>
              <w:top w:val="single" w:sz="4" w:space="0" w:color="D9D9D9"/>
              <w:left w:val="single" w:sz="4" w:space="0" w:color="D9D9D9"/>
              <w:bottom w:val="single" w:sz="4" w:space="0" w:color="D9D9D9"/>
              <w:right w:val="single" w:sz="4" w:space="0" w:color="D9D9D9"/>
            </w:tcBorders>
            <w:shd w:fill="FFFFFF"/>
            <w:vAlign w:val="center"/>
          </w:tcPr>
          <w:p>
            <w:pPr>
              <w:pStyle w:val="Normal"/>
              <w:widowControl w:val="false"/>
              <w:spacing w:lineRule="auto" w:line="252" w:before="0" w:after="0"/>
              <w:rPr/>
            </w:pPr>
            <w:r>
              <w:rPr>
                <w:b w:val="false"/>
                <w:color w:val="000000"/>
                <w:sz w:val="19"/>
              </w:rPr>
              <w:t>30</w:t>
            </w:r>
          </w:p>
        </w:tc>
      </w:tr>
    </w:tbl>
    <w:p>
      <w:pPr>
        <w:pStyle w:val="Normal"/>
        <w:spacing w:before="0" w:after="0"/>
        <w:rPr/>
      </w:pPr>
      <w:r>
        <w:rPr/>
      </w:r>
    </w:p>
    <w:p>
      <w:pPr>
        <w:pStyle w:val="Normal"/>
        <w:rPr/>
      </w:pPr>
      <w:r>
        <w:rPr/>
        <w:t>The electrode-problem group is small. Any later score for that group needs its record and class counts and will have limited precision.</w:t>
      </w:r>
    </w:p>
    <w:p>
      <w:pPr>
        <w:pStyle w:val="Heading1"/>
        <w:rPr/>
      </w:pPr>
      <w:r>
        <w:rPr/>
        <w:t>Integrity and redundancy</w:t>
      </w:r>
    </w:p>
    <w:p>
      <w:pPr>
        <w:pStyle w:val="Normal"/>
        <w:rPr/>
      </w:pPr>
      <w:r>
        <w:rPr/>
        <w:t>Checks found no infinities, duplicate complete feature rows, negative numerical lead IQRs, invalid counts or nonpositive observed lead durations. No complete source row or feature is empty. Unusual measured values remain in the dataset unless an error is established.</w:t>
      </w:r>
    </w:p>
    <w:p>
      <w:pPr>
        <w:pStyle w:val="Normal"/>
        <w:rPr/>
      </w:pPr>
      <w:r>
        <w:rPr/>
        <w:t>Two Global fields are constant. The 168 lead count fields form only four distinct full-cohort vectors, so many columns repeat the same information. Keeping their lead identities supports missing-lead tests; it does not make them independent measurements.</w:t>
      </w:r>
    </w:p>
    <w:p>
      <w:pPr>
        <w:pStyle w:val="Heading1"/>
        <w:rPr/>
      </w:pPr>
      <w:r>
        <w:rPr/>
        <w:t>Findings in the descriptive sample</w:t>
      </w:r>
    </w:p>
    <w:p>
      <w:pPr>
        <w:pStyle w:val="Normal"/>
        <w:rPr/>
      </w:pPr>
      <w:r>
        <w:rPr/>
        <w:t>The fixed descriptive sample contains 2,153 ECGs from 1,887 patients, including 163 AFIB ECGs. Average lead-cell missingness is 2.92% for AFIB and 2.66% otherwise. P morphology missingness is 54.60% and 39.80%, respectively.</w:t>
      </w:r>
    </w:p>
    <w:p>
      <w:pPr>
        <w:pStyle w:val="Normal"/>
        <w:rPr/>
      </w:pPr>
      <w:r>
        <w:rPr/>
        <w:t>The sample contains 117 numerical fields with absolute skewness above 2 and 35 continuous feature pairs with absolute Spearman correlation at least 0.90. These results indicate uneven distributions and redundancy. They do not establish that missingness or any feature is useful for prediction.</w:t>
      </w:r>
    </w:p>
    <w:p>
      <w:pPr>
        <w:pStyle w:val="Heading1"/>
        <w:rPr/>
      </w:pPr>
      <w:r>
        <w:rPr/>
        <w:t>What we have and have not established</w:t>
      </w:r>
    </w:p>
    <w:p>
      <w:pPr>
        <w:pStyle w:val="Normal"/>
        <w:rPr/>
      </w:pPr>
      <w:r>
        <w:rPr/>
        <w:t>The evidence establishes class imbalance, repeated patients, structured gaps, recorded quality concerns and redundant fields. We have not yet established which selected classifier performs best, whether constructed features or augmentation improve prediction, or whether learned filling improves AFIB detection.</w:t>
      </w:r>
    </w:p>
    <w:p>
      <w:pPr>
        <w:pStyle w:val="Normal"/>
        <w:rPr/>
      </w:pPr>
      <w:r>
        <w:rPr/>
        <w:t>Earlier exploration informed the study design, and those patients remain eligible for cross-validation. Later comparisons therefore provide exploratory internal evidence. Artificially hiding recorded measurements cannot establish how natural gaps occurred.</w:t>
      </w:r>
    </w:p>
    <w:p>
      <w:pPr>
        <w:pStyle w:val="Normal"/>
        <w:rPr/>
      </w:pPr>
      <w:r>
        <w:rPr/>
      </w:r>
    </w:p>
    <w:p>
      <w:pPr>
        <w:pStyle w:val="Normal"/>
        <w:rPr/>
      </w:pPr>
      <w:r>
        <w:rPr/>
      </w:r>
    </w:p>
    <w:p>
      <w:pPr>
        <w:pStyle w:val="Normal"/>
        <w:widowControl/>
        <w:bidi w:val="0"/>
        <w:spacing w:lineRule="auto" w:line="264" w:before="0" w:after="120"/>
        <w:jc w:val="left"/>
        <w:rPr/>
      </w:pPr>
      <w:r>
        <w:rPr>
          <w:sz w:val="18"/>
        </w:rPr>
        <w:t>Evidence: source CSVs and the retained audit in reports/legacy/preprocessing/. The separate notebooks/00_data_insights.ipynb reproduces descriptive findings; its scope is dataset analysis. Source versions: PTB-XL+ 1.0.1 and PTB-XL 1.0.3, available from physionet.org/content/ptb-xl-plus/1.0.1/ and physionet.org/content/ptb-xl/1.0.3/.</w:t>
      </w:r>
    </w:p>
    <w:sectPr>
      <w:type w:val="nextPage"/>
      <w:pgSz w:w="11906" w:h="16838"/>
      <w:pgMar w:left="1020" w:right="1020" w:gutter="0" w:header="0" w:top="992" w:footer="0" w:bottom="992"/>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rial">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4" w:before="0" w:after="120"/>
      <w:jc w:val="left"/>
    </w:pPr>
    <w:rPr>
      <w:rFonts w:ascii="Arial" w:hAnsi="Arial" w:eastAsia="ＭＳ 明朝" w:cs=""/>
      <w:color w:val="000000"/>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00" w:after="100"/>
      <w:outlineLvl w:val="0"/>
    </w:pPr>
    <w:rPr>
      <w:rFonts w:ascii="Calibri" w:hAnsi="Calibri" w:eastAsia="ＭＳ ゴシック" w:cs="" w:asciiTheme="majorHAnsi" w:cstheme="majorBidi" w:eastAsiaTheme="majorEastAsia" w:hAnsiTheme="majorHAnsi"/>
      <w:b/>
      <w:bCs/>
      <w:color w:val="000000"/>
      <w:sz w:val="26"/>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000000"/>
      <w:sz w:val="22"/>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Microsoft YaHei" w:cs="Mangal"/>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left="360" w:hanging="360"/>
      <w:contextualSpacing/>
    </w:pPr>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pBdr>
      <w:spacing w:lineRule="auto" w:line="240" w:before="0" w:after="160"/>
      <w:contextualSpacing/>
    </w:pPr>
    <w:rPr>
      <w:rFonts w:ascii="Calibri" w:hAnsi="Calibri" w:eastAsia="ＭＳ ゴシック" w:cs="" w:asciiTheme="majorHAnsi" w:cstheme="majorBidi" w:eastAsiaTheme="majorEastAsia" w:hAnsiTheme="majorHAnsi"/>
      <w:b w:val="false"/>
      <w:color w:val="000000"/>
      <w:spacing w:val="5"/>
      <w:kern w:val="2"/>
      <w:sz w:val="46"/>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000000"/>
      <w:spacing w:val="15"/>
      <w:sz w:val="24"/>
      <w:szCs w:val="24"/>
    </w:rPr>
  </w:style>
  <w:style w:type="paragraph" w:styleId="ListParagraph">
    <w:name w:val="List Paragraph"/>
    <w:basedOn w:val="Normal"/>
    <w:uiPriority w:val="34"/>
    <w:qFormat/>
    <w:rsid w:val="00fc693f"/>
    <w:pPr>
      <w:spacing w:before="0" w:after="12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120"/>
      <w:ind w:left="720" w:hanging="360"/>
      <w:contextualSpacing/>
    </w:pPr>
    <w:rPr/>
  </w:style>
  <w:style w:type="paragraph" w:styleId="List3">
    <w:name w:val="List Bullet 4"/>
    <w:basedOn w:val="Normal"/>
    <w:uiPriority w:val="99"/>
    <w:unhideWhenUsed/>
    <w:rsid w:val="00326f90"/>
    <w:pPr>
      <w:spacing w:before="0" w:after="120"/>
      <w:ind w:left="1080" w:hanging="360"/>
      <w:contextualSpacing/>
    </w:pPr>
    <w:rPr/>
  </w:style>
  <w:style w:type="paragraph" w:styleId="ListBullet">
    <w:name w:val="List Bullet"/>
    <w:basedOn w:val="Normal"/>
    <w:uiPriority w:val="99"/>
    <w:unhideWhenUsed/>
    <w:qFormat/>
    <w:rsid w:val="00326f90"/>
    <w:pPr>
      <w:numPr>
        <w:ilvl w:val="0"/>
        <w:numId w:val="1"/>
      </w:numPr>
      <w:spacing w:before="0" w:after="120"/>
      <w:contextualSpacing/>
    </w:pPr>
    <w:rPr/>
  </w:style>
  <w:style w:type="paragraph" w:styleId="ListBullet2">
    <w:name w:val="List Bullet 2"/>
    <w:basedOn w:val="Normal"/>
    <w:uiPriority w:val="99"/>
    <w:unhideWhenUsed/>
    <w:qFormat/>
    <w:rsid w:val="00326f90"/>
    <w:pPr>
      <w:numPr>
        <w:ilvl w:val="0"/>
        <w:numId w:val="2"/>
      </w:numPr>
      <w:spacing w:before="0" w:after="120"/>
      <w:contextualSpacing/>
    </w:pPr>
    <w:rPr/>
  </w:style>
  <w:style w:type="paragraph" w:styleId="ListBullet3">
    <w:name w:val="List Bullet 3"/>
    <w:basedOn w:val="Normal"/>
    <w:uiPriority w:val="99"/>
    <w:unhideWhenUsed/>
    <w:qFormat/>
    <w:rsid w:val="00326f90"/>
    <w:pPr>
      <w:numPr>
        <w:ilvl w:val="0"/>
        <w:numId w:val="3"/>
      </w:numPr>
      <w:spacing w:before="0" w:after="120"/>
      <w:contextualSpacing/>
    </w:pPr>
    <w:rPr/>
  </w:style>
  <w:style w:type="paragraph" w:styleId="ListNumber">
    <w:name w:val="List Number"/>
    <w:basedOn w:val="Normal"/>
    <w:uiPriority w:val="99"/>
    <w:unhideWhenUsed/>
    <w:qFormat/>
    <w:rsid w:val="00326f90"/>
    <w:pPr>
      <w:numPr>
        <w:ilvl w:val="0"/>
        <w:numId w:val="4"/>
      </w:numPr>
      <w:spacing w:before="0" w:after="120"/>
      <w:contextualSpacing/>
    </w:pPr>
    <w:rPr/>
  </w:style>
  <w:style w:type="paragraph" w:styleId="ListNumber2">
    <w:name w:val="List Number 2"/>
    <w:basedOn w:val="Normal"/>
    <w:uiPriority w:val="99"/>
    <w:unhideWhenUsed/>
    <w:qFormat/>
    <w:rsid w:val="0029639d"/>
    <w:pPr>
      <w:numPr>
        <w:ilvl w:val="0"/>
        <w:numId w:val="5"/>
      </w:numPr>
      <w:spacing w:before="0" w:after="120"/>
      <w:contextualSpacing/>
    </w:pPr>
    <w:rPr/>
  </w:style>
  <w:style w:type="paragraph" w:styleId="ListNumber3">
    <w:name w:val="List Number 3"/>
    <w:basedOn w:val="Normal"/>
    <w:uiPriority w:val="99"/>
    <w:unhideWhenUsed/>
    <w:qFormat/>
    <w:rsid w:val="0029639d"/>
    <w:pPr>
      <w:numPr>
        <w:ilvl w:val="0"/>
        <w:numId w:val="6"/>
      </w:numPr>
      <w:spacing w:before="0" w:after="12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rFonts w:ascii="Arial" w:hAnsi="Arial"/>
      <w:b/>
      <w:bCs/>
      <w:i w:val="false"/>
      <w:color w:val="000000"/>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LibreOffice/7.5.1.2$Windows_X86_64 LibreOffice_project/fcbaee479e84c6cd81291587d2ee68cba099e129</Application>
  <AppVersion>15.0000</AppVersion>
  <Pages>2</Pages>
  <Words>624</Words>
  <Characters>3718</Characters>
  <CharactersWithSpaces>4293</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Aaditya Pathak; Siwen Wang; Jiayi Huang</dc:creator>
  <dc:description>generated by python-docx</dc:description>
  <dc:language>en-IN</dc:language>
  <cp:lastModifiedBy/>
  <dcterms:modified xsi:type="dcterms:W3CDTF">2026-10-08T16:57:51Z</dcterms:modified>
  <cp:revision>3</cp:revision>
  <dc:subject/>
  <dc:title>ECG dataset insights</dc:title>
</cp:coreProperties>
</file>

<file path=docProps/custom.xml><?xml version="1.0" encoding="utf-8"?>
<Properties xmlns="http://schemas.openxmlformats.org/officeDocument/2006/custom-properties" xmlns:vt="http://schemas.openxmlformats.org/officeDocument/2006/docPropsVTypes"/>
</file>