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color w:val="auto"/>
          <w:kern w:val="0"/>
          <w:sz w:val="48"/>
          <w:szCs w:val="48"/>
        </w:rPr>
      </w:pPr>
      <w:r>
        <w:rPr>
          <w:rFonts w:hint="eastAsia" w:ascii="黑体" w:eastAsia="黑体" w:cs="黑体"/>
          <w:b/>
          <w:bCs/>
          <w:color w:val="auto"/>
          <w:kern w:val="0"/>
          <w:sz w:val="48"/>
          <w:szCs w:val="48"/>
        </w:rPr>
        <w:t>软件代理</w:t>
      </w:r>
      <w:r>
        <w:rPr>
          <w:rFonts w:hint="eastAsia" w:ascii="黑体" w:eastAsia="黑体" w:cs="黑体"/>
          <w:b/>
          <w:bCs/>
          <w:color w:val="auto"/>
          <w:kern w:val="0"/>
          <w:sz w:val="48"/>
          <w:szCs w:val="48"/>
          <w:lang w:eastAsia="zh-CN"/>
        </w:rPr>
        <w:t>合作</w:t>
      </w:r>
      <w:r>
        <w:rPr>
          <w:rFonts w:hint="eastAsia" w:ascii="黑体" w:eastAsia="黑体" w:cs="黑体"/>
          <w:b/>
          <w:bCs/>
          <w:color w:val="auto"/>
          <w:kern w:val="0"/>
          <w:sz w:val="48"/>
          <w:szCs w:val="48"/>
        </w:rPr>
        <w:t>协议</w:t>
      </w:r>
    </w:p>
    <w:p>
      <w:pPr>
        <w:autoSpaceDE w:val="0"/>
        <w:autoSpaceDN w:val="0"/>
        <w:adjustRightInd w:val="0"/>
        <w:jc w:val="center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甲方：　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乙方：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广州有戏信息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科技有限公司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本着合作共赢，诚实信用、互惠互利的原则，经双方友好协商，并根据中华人民共和国法律、法规，在平等互利的基础上签署本协议。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第一条　代理产品及代理级别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1．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甲方代理由乙方提供的全系列在售软件产品。产品见乙方公司网站平台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产品列表。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2．由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从事产品的销售，宣传，促销以及售后服务等合法商业活动。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500" w:lineRule="exact"/>
        <w:ind w:firstLine="480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代理分为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以下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级别，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代理级别和优惠政策以及代理条件见下表：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br w:type="textWrapping"/>
      </w:r>
    </w:p>
    <w:tbl>
      <w:tblPr>
        <w:tblStyle w:val="6"/>
        <w:tblW w:w="9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105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36" w:type="dxa"/>
            <w:shd w:val="clear" w:color="auto" w:fill="D7D7D7" w:themeFill="background1" w:themeFillShade="D8"/>
            <w:vAlign w:val="center"/>
          </w:tcPr>
          <w:p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</w:rPr>
              <w:t>代理级别</w:t>
            </w:r>
          </w:p>
        </w:tc>
        <w:tc>
          <w:tcPr>
            <w:tcW w:w="3105" w:type="dxa"/>
            <w:shd w:val="clear" w:color="auto" w:fill="D7D7D7" w:themeFill="background1" w:themeFillShade="D8"/>
            <w:vAlign w:val="center"/>
          </w:tcPr>
          <w:p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优惠政策</w:t>
            </w:r>
          </w:p>
        </w:tc>
        <w:tc>
          <w:tcPr>
            <w:tcW w:w="4075" w:type="dxa"/>
            <w:shd w:val="clear" w:color="auto" w:fill="D7D7D7" w:themeFill="background1" w:themeFillShade="D8"/>
            <w:vAlign w:val="center"/>
          </w:tcPr>
          <w:p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代理条件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特约代理</w:t>
            </w:r>
          </w:p>
        </w:tc>
        <w:tc>
          <w:tcPr>
            <w:tcW w:w="310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软件产品全部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8折</w:t>
            </w:r>
          </w:p>
        </w:tc>
        <w:tc>
          <w:tcPr>
            <w:tcW w:w="407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预付款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高级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代理</w:t>
            </w:r>
          </w:p>
        </w:tc>
        <w:tc>
          <w:tcPr>
            <w:tcW w:w="310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软件产品全部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折</w:t>
            </w:r>
          </w:p>
        </w:tc>
        <w:tc>
          <w:tcPr>
            <w:tcW w:w="407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预付款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10000元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核心代理</w:t>
            </w:r>
          </w:p>
        </w:tc>
        <w:tc>
          <w:tcPr>
            <w:tcW w:w="310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软件产品全部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</w:rPr>
              <w:t>折</w:t>
            </w:r>
          </w:p>
        </w:tc>
        <w:tc>
          <w:tcPr>
            <w:tcW w:w="407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预付款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合作伙伴</w:t>
            </w:r>
          </w:p>
        </w:tc>
        <w:tc>
          <w:tcPr>
            <w:tcW w:w="310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软件产品全部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5折</w:t>
            </w:r>
          </w:p>
        </w:tc>
        <w:tc>
          <w:tcPr>
            <w:tcW w:w="407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预付款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30000元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OEM战略伙伴</w:t>
            </w:r>
          </w:p>
        </w:tc>
        <w:tc>
          <w:tcPr>
            <w:tcW w:w="310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软件产品全部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3折</w:t>
            </w:r>
          </w:p>
        </w:tc>
        <w:tc>
          <w:tcPr>
            <w:tcW w:w="4075" w:type="dxa"/>
          </w:tcPr>
          <w:p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eastAsia="zh-CN"/>
              </w:rPr>
              <w:t>预付款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kern w:val="0"/>
                <w:sz w:val="24"/>
                <w:szCs w:val="24"/>
                <w:lang w:val="en-US" w:eastAsia="zh-CN"/>
              </w:rPr>
              <w:t>50000元</w:t>
            </w:r>
          </w:p>
        </w:tc>
      </w:tr>
    </w:tbl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第二条　合作方式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1．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OEM战略伙伴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可以享受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方提供软件OEM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特权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服务，即将软件的联系方式，名称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LOGO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等修改为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方的相关信息，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但需要对要进行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OEM的软件需要购买10套以上，（费用从预付款中扣除）。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方不能对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方的软件进行反编译或进行软件破解，任何违反国家知识产权法的行为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方将追究法律责任。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．若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OEM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的软件名称、公司名称和联系方式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与其他公司发生版权纠纷，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均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方无关。</w:t>
      </w:r>
    </w:p>
    <w:p>
      <w:pPr>
        <w:autoSpaceDE w:val="0"/>
        <w:autoSpaceDN w:val="0"/>
        <w:adjustRightInd w:val="0"/>
        <w:spacing w:line="500" w:lineRule="exact"/>
        <w:ind w:firstLine="465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方可以提供软件的相关资料（包括产品官网介绍网页，使用说明，软件的使用常用问题解答，相关制作和修改工具等）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方便甲方销售和售后服务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500" w:lineRule="exact"/>
        <w:ind w:firstLine="465"/>
        <w:jc w:val="left"/>
        <w:rPr>
          <w:rFonts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4. 为了保障甲方的利益，每个县级市同一代理级别只设立一家。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第三条　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  <w:lang w:eastAsia="zh-CN"/>
        </w:rPr>
        <w:t>支付与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结算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方根据自己的销售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情况对甲方在乙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平台网站上的帐号进行预付款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，预付款的金额是划分代理等级的依据。支付后，请联系您的专属客服完成审核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并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开通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对应等级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。申请代理的首次预付款必须为一次性充值, 不累计；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ab/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2. 预付款是代理商预先充值的款项，可以做为划分代理等级的依据，也是作为将来产品开通、消费的款项，并非押金/保证金，无消费时间限制。预付款不支持退款，预付款消费完，可在线充值，以保证您的帐号中有足够的余额，以便业务正常开展。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3. 代理推广获得的佣金可自由提现，也可用于产品开通、消费的款项，系统将优先扣除预付款。当佣金金额大于100元时，甲方可以申请提现，申请的提现将在3个工作日之内转帐到甲方指定的收款帐号上。如因甲方原因导致转帐失败或错误，乙方不负任何责任。</w:t>
      </w:r>
    </w:p>
    <w:p>
      <w:pPr>
        <w:autoSpaceDE w:val="0"/>
        <w:autoSpaceDN w:val="0"/>
        <w:adjustRightInd w:val="0"/>
        <w:spacing w:line="500" w:lineRule="exact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4.所有软件和服务均不含发票，如需开具发票，需另外支付8%税费（包括国税，地税等合计），并提供相关开票信息和邮寄地址给乙方。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第四条　售后服务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1．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方为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方提供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软件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升级和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在线技术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支持，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并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开通技术热线和专用QQ等为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方提供方便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的售后支持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2．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方应对自己的用户提供完善的售后服务。技术支持部分由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方负责。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3．若非因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方原因造成的产品受损但必须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方提供技术服务的，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方将收取维护费和服务费。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4.因网络不安全等因素，请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方协助用户做好备份工作。如果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软件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托管在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方会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定期进行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备份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，但不承诺对甲方数据承担责任。</w:t>
      </w:r>
    </w:p>
    <w:p>
      <w:pPr>
        <w:autoSpaceDE w:val="0"/>
        <w:autoSpaceDN w:val="0"/>
        <w:adjustRightInd w:val="0"/>
        <w:spacing w:line="500" w:lineRule="exact"/>
        <w:ind w:firstLine="48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/>
        </w:rPr>
        <w:t>5.更多软件授权使用协议，见【软件购买使用协议】。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第五条　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方权利与义务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1．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有权使用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方代理商的名义，从事有关销售甲方产品的合法商业活动。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2．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方有权接受用户对产品的意见和投诉，并及时通知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方以便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方更好的改进软件。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3．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方应执行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方制定的价格表，并负有保密义务。并有义务配合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方进行产品市场推广活动。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4．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方若以低于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方公开报价的5折销售软件，将视为故意破坏价格秩序，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方有权单方面终止合同，并要求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方承担相应责任。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kern w:val="0"/>
          <w:sz w:val="24"/>
          <w:szCs w:val="24"/>
        </w:rPr>
        <w:t>第六条　其他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1．本协议及附件的解释、修改权在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方。若有修改，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将在官网同步更新，不再另行单独通知甲方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2．本协议一式两份，甲方一份，乙方一份，均具同等法律效力。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3．本协议的履行和解释出现争议时，双方应友好协商解决，若未能达成共识，双方同意通过司法部门仲裁解决。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4．本协议自双方签字盖章之日起生效。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eastAsia="zh-CN"/>
        </w:rPr>
        <w:t>本协议最终解释权归甲方所有。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500" w:lineRule="exact"/>
        <w:ind w:firstLine="480" w:firstLineChars="200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甲方（盖章）：_________　                乙方（盖章）：_________　　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asciiTheme="majorEastAsia" w:hAnsiTheme="majorEastAsia" w:eastAsiaTheme="majorEastAsia" w:cstheme="majorEastAsia"/>
          <w:color w:val="auto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代表（签字）：_________　                代表（签字）：_________　　</w:t>
      </w:r>
    </w:p>
    <w:p>
      <w:pPr>
        <w:spacing w:line="500" w:lineRule="exact"/>
        <w:rPr>
          <w:rFonts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</w:rPr>
        <w:t>　　_________年____月____日　                 _________年____月____日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774940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B08F"/>
    <w:multiLevelType w:val="singleLevel"/>
    <w:tmpl w:val="5850B08F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5990"/>
    <w:rsid w:val="00000634"/>
    <w:rsid w:val="00030637"/>
    <w:rsid w:val="00041C03"/>
    <w:rsid w:val="000668D2"/>
    <w:rsid w:val="00075990"/>
    <w:rsid w:val="00075C2E"/>
    <w:rsid w:val="000C6C9E"/>
    <w:rsid w:val="000F4F19"/>
    <w:rsid w:val="00107CA9"/>
    <w:rsid w:val="00120A36"/>
    <w:rsid w:val="00161097"/>
    <w:rsid w:val="00185690"/>
    <w:rsid w:val="001A05F3"/>
    <w:rsid w:val="001A0B19"/>
    <w:rsid w:val="001B4612"/>
    <w:rsid w:val="001C7632"/>
    <w:rsid w:val="001D1CAB"/>
    <w:rsid w:val="001E433F"/>
    <w:rsid w:val="001E6360"/>
    <w:rsid w:val="001F6605"/>
    <w:rsid w:val="0029592A"/>
    <w:rsid w:val="002B0551"/>
    <w:rsid w:val="002B18CE"/>
    <w:rsid w:val="002C11C8"/>
    <w:rsid w:val="002C517D"/>
    <w:rsid w:val="00313218"/>
    <w:rsid w:val="00315785"/>
    <w:rsid w:val="003320C1"/>
    <w:rsid w:val="003345C0"/>
    <w:rsid w:val="00337B82"/>
    <w:rsid w:val="0035022E"/>
    <w:rsid w:val="003558A5"/>
    <w:rsid w:val="0039072E"/>
    <w:rsid w:val="00395F29"/>
    <w:rsid w:val="003A1086"/>
    <w:rsid w:val="0041286A"/>
    <w:rsid w:val="00454956"/>
    <w:rsid w:val="00456832"/>
    <w:rsid w:val="00461B7A"/>
    <w:rsid w:val="00462DC9"/>
    <w:rsid w:val="00490121"/>
    <w:rsid w:val="0049379C"/>
    <w:rsid w:val="0049379E"/>
    <w:rsid w:val="00496159"/>
    <w:rsid w:val="004A17C0"/>
    <w:rsid w:val="00502C77"/>
    <w:rsid w:val="00502D62"/>
    <w:rsid w:val="0051247E"/>
    <w:rsid w:val="005173BD"/>
    <w:rsid w:val="0052759F"/>
    <w:rsid w:val="00561A47"/>
    <w:rsid w:val="005C57C2"/>
    <w:rsid w:val="005D1CDF"/>
    <w:rsid w:val="005F0285"/>
    <w:rsid w:val="006058C7"/>
    <w:rsid w:val="00614A3C"/>
    <w:rsid w:val="00621A44"/>
    <w:rsid w:val="00631C48"/>
    <w:rsid w:val="00643DF2"/>
    <w:rsid w:val="00646AB2"/>
    <w:rsid w:val="006544FC"/>
    <w:rsid w:val="00661F0F"/>
    <w:rsid w:val="006A53FB"/>
    <w:rsid w:val="006B5872"/>
    <w:rsid w:val="006D270E"/>
    <w:rsid w:val="006F0661"/>
    <w:rsid w:val="006F3460"/>
    <w:rsid w:val="006F5674"/>
    <w:rsid w:val="00703554"/>
    <w:rsid w:val="00715396"/>
    <w:rsid w:val="00740B6C"/>
    <w:rsid w:val="0075220E"/>
    <w:rsid w:val="00765D89"/>
    <w:rsid w:val="00767864"/>
    <w:rsid w:val="0077308C"/>
    <w:rsid w:val="007C1096"/>
    <w:rsid w:val="007C3E9C"/>
    <w:rsid w:val="007D0A76"/>
    <w:rsid w:val="007F601C"/>
    <w:rsid w:val="00845896"/>
    <w:rsid w:val="00853A30"/>
    <w:rsid w:val="00875005"/>
    <w:rsid w:val="0087539F"/>
    <w:rsid w:val="008B1CC5"/>
    <w:rsid w:val="008C4A95"/>
    <w:rsid w:val="00951146"/>
    <w:rsid w:val="009660EC"/>
    <w:rsid w:val="009A4BF5"/>
    <w:rsid w:val="009A7473"/>
    <w:rsid w:val="009B6FC2"/>
    <w:rsid w:val="00A06F9F"/>
    <w:rsid w:val="00A33F83"/>
    <w:rsid w:val="00A41AEC"/>
    <w:rsid w:val="00A43944"/>
    <w:rsid w:val="00A70779"/>
    <w:rsid w:val="00A76FAB"/>
    <w:rsid w:val="00A81F82"/>
    <w:rsid w:val="00AA3F1E"/>
    <w:rsid w:val="00AE2060"/>
    <w:rsid w:val="00AF17F3"/>
    <w:rsid w:val="00B17480"/>
    <w:rsid w:val="00B17726"/>
    <w:rsid w:val="00B25A5F"/>
    <w:rsid w:val="00B31855"/>
    <w:rsid w:val="00B41EF4"/>
    <w:rsid w:val="00B46BA3"/>
    <w:rsid w:val="00BA0B30"/>
    <w:rsid w:val="00BA751D"/>
    <w:rsid w:val="00BB1402"/>
    <w:rsid w:val="00BD5211"/>
    <w:rsid w:val="00BF0CD1"/>
    <w:rsid w:val="00C16363"/>
    <w:rsid w:val="00C236EE"/>
    <w:rsid w:val="00C663D3"/>
    <w:rsid w:val="00C83E19"/>
    <w:rsid w:val="00C85600"/>
    <w:rsid w:val="00CF78FD"/>
    <w:rsid w:val="00D11D24"/>
    <w:rsid w:val="00D167D3"/>
    <w:rsid w:val="00D25146"/>
    <w:rsid w:val="00D41124"/>
    <w:rsid w:val="00D41F9C"/>
    <w:rsid w:val="00D80CB9"/>
    <w:rsid w:val="00D81D80"/>
    <w:rsid w:val="00D825B8"/>
    <w:rsid w:val="00D858C1"/>
    <w:rsid w:val="00D91543"/>
    <w:rsid w:val="00D954C7"/>
    <w:rsid w:val="00DA7397"/>
    <w:rsid w:val="00DB2434"/>
    <w:rsid w:val="00DC3748"/>
    <w:rsid w:val="00DC6C28"/>
    <w:rsid w:val="00DD17B2"/>
    <w:rsid w:val="00DD331E"/>
    <w:rsid w:val="00DE4344"/>
    <w:rsid w:val="00E06FFE"/>
    <w:rsid w:val="00E31B16"/>
    <w:rsid w:val="00E568BC"/>
    <w:rsid w:val="00E56F23"/>
    <w:rsid w:val="00E571C7"/>
    <w:rsid w:val="00E63C30"/>
    <w:rsid w:val="00E66E22"/>
    <w:rsid w:val="00E71DD3"/>
    <w:rsid w:val="00E92B2E"/>
    <w:rsid w:val="00EA5965"/>
    <w:rsid w:val="00EB1C1D"/>
    <w:rsid w:val="00EB415D"/>
    <w:rsid w:val="00EC438E"/>
    <w:rsid w:val="00ED28A7"/>
    <w:rsid w:val="00F07BBC"/>
    <w:rsid w:val="00F21C75"/>
    <w:rsid w:val="00F5284F"/>
    <w:rsid w:val="00FD2D9B"/>
    <w:rsid w:val="00FD33BF"/>
    <w:rsid w:val="00FD3F3D"/>
    <w:rsid w:val="01271905"/>
    <w:rsid w:val="044D195E"/>
    <w:rsid w:val="067614B8"/>
    <w:rsid w:val="069E1F29"/>
    <w:rsid w:val="095370CD"/>
    <w:rsid w:val="0C276A56"/>
    <w:rsid w:val="0EA06338"/>
    <w:rsid w:val="11B31910"/>
    <w:rsid w:val="13AF272B"/>
    <w:rsid w:val="14E56FA1"/>
    <w:rsid w:val="15C7788A"/>
    <w:rsid w:val="15F108EE"/>
    <w:rsid w:val="1DD12793"/>
    <w:rsid w:val="1EED7339"/>
    <w:rsid w:val="1FBB26FE"/>
    <w:rsid w:val="203033AD"/>
    <w:rsid w:val="23F323AB"/>
    <w:rsid w:val="294856EC"/>
    <w:rsid w:val="2B153DAE"/>
    <w:rsid w:val="2DA0256B"/>
    <w:rsid w:val="2EC23255"/>
    <w:rsid w:val="307010D4"/>
    <w:rsid w:val="3143442A"/>
    <w:rsid w:val="37652B59"/>
    <w:rsid w:val="3AFF2E9B"/>
    <w:rsid w:val="3B5F2C4E"/>
    <w:rsid w:val="3C1C78F7"/>
    <w:rsid w:val="3E7709E3"/>
    <w:rsid w:val="3E943524"/>
    <w:rsid w:val="3F1D2BB3"/>
    <w:rsid w:val="3F631A60"/>
    <w:rsid w:val="41A568AE"/>
    <w:rsid w:val="41CE087A"/>
    <w:rsid w:val="41F372CF"/>
    <w:rsid w:val="4212642F"/>
    <w:rsid w:val="42423423"/>
    <w:rsid w:val="444B7CEA"/>
    <w:rsid w:val="446855C6"/>
    <w:rsid w:val="472327A3"/>
    <w:rsid w:val="47E67934"/>
    <w:rsid w:val="498E2F85"/>
    <w:rsid w:val="4C1F3E3E"/>
    <w:rsid w:val="4F71163D"/>
    <w:rsid w:val="4FBE4E04"/>
    <w:rsid w:val="521E63FA"/>
    <w:rsid w:val="52DB49C7"/>
    <w:rsid w:val="5337037A"/>
    <w:rsid w:val="55D705D4"/>
    <w:rsid w:val="567F284F"/>
    <w:rsid w:val="5B2E5485"/>
    <w:rsid w:val="5E0C42D5"/>
    <w:rsid w:val="5E4445B0"/>
    <w:rsid w:val="62D42CC9"/>
    <w:rsid w:val="62FA1E3F"/>
    <w:rsid w:val="6408758F"/>
    <w:rsid w:val="64A8370B"/>
    <w:rsid w:val="66B468DA"/>
    <w:rsid w:val="67763F93"/>
    <w:rsid w:val="6E024751"/>
    <w:rsid w:val="6E67790B"/>
    <w:rsid w:val="6F2647C6"/>
    <w:rsid w:val="704D3741"/>
    <w:rsid w:val="73590856"/>
    <w:rsid w:val="743617E2"/>
    <w:rsid w:val="754A10CE"/>
    <w:rsid w:val="763B568C"/>
    <w:rsid w:val="772B45CC"/>
    <w:rsid w:val="77C10E97"/>
    <w:rsid w:val="77E43E18"/>
    <w:rsid w:val="78B12F82"/>
    <w:rsid w:val="798F0827"/>
    <w:rsid w:val="7BBC0A8A"/>
    <w:rsid w:val="7D85301A"/>
    <w:rsid w:val="7F2E4D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249</Words>
  <Characters>1420</Characters>
  <Lines>11</Lines>
  <Paragraphs>3</Paragraphs>
  <TotalTime>59</TotalTime>
  <ScaleCrop>false</ScaleCrop>
  <LinksUpToDate>false</LinksUpToDate>
  <CharactersWithSpaces>1666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2017-11-14T08:20:00Z</dcterms:created>
  <dc:creator>微软用户</dc:creator>
  <cp:lastModifiedBy>Administrator</cp:lastModifiedBy>
  <dcterms:modified xsi:type="dcterms:W3CDTF">2019-01-11T05:06:00Z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