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F2B2" w14:textId="77777777" w:rsidR="00C1536C" w:rsidRDefault="0077110B" w:rsidP="00C153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Slide 29: </w:t>
      </w:r>
      <w:proofErr w:type="spellStart"/>
      <w:r w:rsidRPr="00771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Samtools</w:t>
      </w:r>
      <w:proofErr w:type="spellEnd"/>
      <w:r w:rsidRPr="00771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71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Flagstat</w:t>
      </w:r>
      <w:proofErr w:type="spellEnd"/>
      <w:r w:rsidRPr="00771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Report</w:t>
      </w:r>
      <w:r w:rsidR="00C153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On this slide, we have the </w:t>
      </w:r>
      <w:proofErr w:type="spellStart"/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Samtools</w:t>
      </w:r>
      <w:proofErr w:type="spellEnd"/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Flagstat</w:t>
      </w:r>
      <w:proofErr w:type="spellEnd"/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report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>, which provides essential statistics about the quality of our sequencing data. Ensuring high-quality data is critical for accurate downstream analysis.</w:t>
      </w:r>
    </w:p>
    <w:p w14:paraId="568B3CAD" w14:textId="1FCF4C2C" w:rsidR="0077110B" w:rsidRPr="0077110B" w:rsidRDefault="0077110B" w:rsidP="00C153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kern w:val="0"/>
          <w14:ligatures w14:val="none"/>
        </w:rPr>
        <w:t>Key highlights from the report include</w:t>
      </w:r>
      <w:r w:rsidR="005E4199">
        <w:rPr>
          <w:rFonts w:ascii="Times New Roman" w:eastAsia="Times New Roman" w:hAnsi="Times New Roman" w:cs="Times New Roman"/>
          <w:kern w:val="0"/>
          <w14:ligatures w14:val="none"/>
        </w:rPr>
        <w:t xml:space="preserve"> three types of essential </w:t>
      </w:r>
      <w:proofErr w:type="gramStart"/>
      <w:r w:rsidR="005E4199">
        <w:rPr>
          <w:rFonts w:ascii="Times New Roman" w:eastAsia="Times New Roman" w:hAnsi="Times New Roman" w:cs="Times New Roman"/>
          <w:kern w:val="0"/>
          <w14:ligatures w14:val="none"/>
        </w:rPr>
        <w:t>readings :</w:t>
      </w:r>
      <w:proofErr w:type="gramEnd"/>
    </w:p>
    <w:p w14:paraId="36A395C2" w14:textId="33C2B41E" w:rsidR="0077110B" w:rsidRPr="0077110B" w:rsidRDefault="0077110B" w:rsidP="00771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Reads: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E4199">
        <w:rPr>
          <w:rFonts w:ascii="Times New Roman" w:eastAsia="Times New Roman" w:hAnsi="Times New Roman" w:cs="Times New Roman"/>
          <w:kern w:val="0"/>
          <w14:ligatures w14:val="none"/>
        </w:rPr>
        <w:t>ensures. That the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data has sufficient depth for reliable analysis.</w:t>
      </w:r>
    </w:p>
    <w:p w14:paraId="3CB5164F" w14:textId="77777777" w:rsidR="0077110B" w:rsidRPr="0077110B" w:rsidRDefault="0077110B" w:rsidP="00771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Mapped Reads: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A high percentage of reads successfully aligned to the reference genome, confirming the reliability of the data.</w:t>
      </w:r>
    </w:p>
    <w:p w14:paraId="0A259E95" w14:textId="77777777" w:rsidR="0077110B" w:rsidRPr="0077110B" w:rsidRDefault="0077110B" w:rsidP="00771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Paired-End Reads and Duplicates: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Paired-end reads enhance alignment accuracy, while a low duplicate rate minimizes the impact of technical artifacts.</w:t>
      </w:r>
    </w:p>
    <w:p w14:paraId="49A65E84" w14:textId="785DB22C" w:rsidR="0077110B" w:rsidRPr="0077110B" w:rsidRDefault="0077110B" w:rsidP="00771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This validation is crucial for studying gene expression changes induced by mitoxantrone. For example, the quality of this data enabled us to observe how the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LUNX protein moves to the cell surface during senescence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>, making it an accessible therapeutic target.</w:t>
      </w:r>
      <w:r w:rsidR="00C1536C">
        <w:rPr>
          <w:rFonts w:ascii="Times New Roman" w:eastAsia="Times New Roman" w:hAnsi="Times New Roman" w:cs="Times New Roman"/>
          <w:kern w:val="0"/>
          <w14:ligatures w14:val="none"/>
        </w:rPr>
        <w:br/>
        <w:t>-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>In summary, this report demonstrates the robust foundation of our data, ensuring that the results we’ll discuss in later slides are scientifically sound and reliable."</w:t>
      </w:r>
    </w:p>
    <w:p w14:paraId="5D2237B0" w14:textId="3D4F2797" w:rsidR="0077110B" w:rsidRPr="0077110B" w:rsidRDefault="0077110B" w:rsidP="00C153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Slide 33: Results Overview and FGFR Implications</w:t>
      </w:r>
      <w:r w:rsidR="00C153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"let’s discuss the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and their implications.</w:t>
      </w:r>
    </w:p>
    <w:p w14:paraId="04BF52D4" w14:textId="77777777" w:rsidR="0077110B" w:rsidRPr="0077110B" w:rsidRDefault="0077110B" w:rsidP="00771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Our study showed that combining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mitoxantrone-induced senescence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LUNX-targeting antibodies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resulted in a significant reduction in lung cancer cell survival, as observed in both lab and animal models.</w:t>
      </w:r>
    </w:p>
    <w:p w14:paraId="3AD9341B" w14:textId="77777777" w:rsidR="0077110B" w:rsidRPr="0077110B" w:rsidRDefault="0077110B" w:rsidP="00771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kern w:val="0"/>
          <w14:ligatures w14:val="none"/>
        </w:rPr>
        <w:t>Here’s how this two-step treatment works:</w:t>
      </w:r>
    </w:p>
    <w:p w14:paraId="39B0C647" w14:textId="696A972E" w:rsidR="0077110B" w:rsidRPr="0077110B" w:rsidRDefault="0077110B" w:rsidP="00771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 – Immunogenic Senescence: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Mitoxantrone induces senescence in lung cancer cells, </w:t>
      </w:r>
      <w:r w:rsidR="005E4199">
        <w:rPr>
          <w:rFonts w:ascii="Times New Roman" w:eastAsia="Times New Roman" w:hAnsi="Times New Roman" w:cs="Times New Roman"/>
          <w:kern w:val="0"/>
          <w14:ligatures w14:val="none"/>
        </w:rPr>
        <w:t xml:space="preserve">by 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stopping their division and bringing the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LUNX protein to the cell surface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>, making it a visible target.</w:t>
      </w:r>
    </w:p>
    <w:p w14:paraId="4DB35CCC" w14:textId="77777777" w:rsidR="0077110B" w:rsidRPr="0077110B" w:rsidRDefault="0077110B" w:rsidP="007711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 – Targeting LUNX: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LUNX-specific antibodies bind to this protein, marking the cancer cells for destruction by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natural killer (NK) cells.</w:t>
      </w:r>
    </w:p>
    <w:p w14:paraId="74FBD121" w14:textId="77777777" w:rsidR="0077110B" w:rsidRPr="0077110B" w:rsidRDefault="0077110B" w:rsidP="007711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Now, let’s connect this to broader implications. One pathway closely linked to cancer progression is the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FGFR (Fibroblast Growth Factor Receptor) signaling pathway.</w:t>
      </w:r>
    </w:p>
    <w:p w14:paraId="7B92C2B7" w14:textId="77777777" w:rsidR="0077110B" w:rsidRPr="0077110B" w:rsidRDefault="0077110B" w:rsidP="007711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FGFR Overexpression in Lung Cancer: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FGFR signaling plays a key role in tumor growth, angiogenesis, and metastasis. In some cases, its overactivity may contribute to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resistance to chemotherapy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like mitoxantrone by promoting cell survival and repair of DNA damage.</w:t>
      </w:r>
    </w:p>
    <w:p w14:paraId="1C7F6EE2" w14:textId="3DB1C7AD" w:rsidR="0077110B" w:rsidRPr="007A4FDF" w:rsidRDefault="0077110B" w:rsidP="007A4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Combination Therapy Opportunities: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This highlights the potential for combining FGFR inhibitors with mitoxantrone. Suppressing FGFR-driven survival signals could enhance the drug’s effectiveness, particularly in patients with FGFR-overexpressing tumors.</w:t>
      </w:r>
      <w:r w:rsidR="007A4FD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7A4FDF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gramStart"/>
      <w:r w:rsidR="00C1536C" w:rsidRPr="007A4FDF">
        <w:rPr>
          <w:rFonts w:ascii="Times New Roman" w:eastAsia="Times New Roman" w:hAnsi="Times New Roman" w:cs="Times New Roman"/>
          <w:kern w:val="0"/>
          <w14:ligatures w14:val="none"/>
        </w:rPr>
        <w:t>Finally</w:t>
      </w:r>
      <w:proofErr w:type="gramEnd"/>
      <w:r w:rsidR="00C1536C" w:rsidRPr="007A4FDF">
        <w:rPr>
          <w:rFonts w:ascii="Times New Roman" w:eastAsia="Times New Roman" w:hAnsi="Times New Roman" w:cs="Times New Roman"/>
          <w:kern w:val="0"/>
          <w14:ligatures w14:val="none"/>
        </w:rPr>
        <w:t xml:space="preserve"> we can conclude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, these results validate the potential of combining chemotherapy with targeted therapies like LUNX-specific antibodies and also open doors for integrating </w:t>
      </w:r>
      <w:r w:rsidRPr="007711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pathway-specific inhibitors</w:t>
      </w:r>
      <w:r w:rsidRPr="0077110B">
        <w:rPr>
          <w:rFonts w:ascii="Times New Roman" w:eastAsia="Times New Roman" w:hAnsi="Times New Roman" w:cs="Times New Roman"/>
          <w:kern w:val="0"/>
          <w14:ligatures w14:val="none"/>
        </w:rPr>
        <w:t xml:space="preserve"> like FGFR inhibitors to improve outcomes. </w:t>
      </w:r>
    </w:p>
    <w:sectPr w:rsidR="0077110B" w:rsidRPr="007A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D20"/>
    <w:multiLevelType w:val="multilevel"/>
    <w:tmpl w:val="FAE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5A34"/>
    <w:multiLevelType w:val="multilevel"/>
    <w:tmpl w:val="9CE4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44BAF"/>
    <w:multiLevelType w:val="multilevel"/>
    <w:tmpl w:val="941A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8C74FA"/>
    <w:multiLevelType w:val="multilevel"/>
    <w:tmpl w:val="D60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906598">
    <w:abstractNumId w:val="1"/>
  </w:num>
  <w:num w:numId="2" w16cid:durableId="1846239632">
    <w:abstractNumId w:val="3"/>
  </w:num>
  <w:num w:numId="3" w16cid:durableId="155152300">
    <w:abstractNumId w:val="0"/>
  </w:num>
  <w:num w:numId="4" w16cid:durableId="327447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0B"/>
    <w:rsid w:val="001F3AF4"/>
    <w:rsid w:val="005E4199"/>
    <w:rsid w:val="0077110B"/>
    <w:rsid w:val="007A4FDF"/>
    <w:rsid w:val="00C1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9D16"/>
  <w15:chartTrackingRefBased/>
  <w15:docId w15:val="{0BB9E789-5ECF-4641-946B-23C9D0E1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1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1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110B"/>
    <w:rPr>
      <w:b/>
      <w:bCs/>
    </w:rPr>
  </w:style>
  <w:style w:type="character" w:styleId="Emphasis">
    <w:name w:val="Emphasis"/>
    <w:basedOn w:val="DefaultParagraphFont"/>
    <w:uiPriority w:val="20"/>
    <w:qFormat/>
    <w:rsid w:val="007711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VrajPinakin Soni</dc:creator>
  <cp:keywords/>
  <dc:description/>
  <cp:lastModifiedBy>VrajPinakin Soni</cp:lastModifiedBy>
  <cp:revision>2</cp:revision>
  <cp:lastPrinted>2025-01-24T15:28:00Z</cp:lastPrinted>
  <dcterms:created xsi:type="dcterms:W3CDTF">2025-01-24T18:37:00Z</dcterms:created>
  <dcterms:modified xsi:type="dcterms:W3CDTF">2025-01-24T18:37:00Z</dcterms:modified>
</cp:coreProperties>
</file>