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MAY 27th - JUNE 1st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Abstract: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Intro: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time the study has been replicated in 21 years. 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recent before our census was done in 1997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Breeding bird census in order to compare species diversity/abundance over time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has changed, why?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Climate change, habitat loss, habitat fragmentation, etc. 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Methods: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Walking the Red Pine Plot at Itasca State Park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Measured out to match the plot size in previous papers.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 ha, which is the minimum area required to meet the standardized bird surveying technique.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observers to minimize the possibility of misidentification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Merlin Bird ID app. To double check identification of unseen calling birds.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evaluating the maps of breeding males we had developed after the completion of our census, there different ways to count territories.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marked territory was completely inside of the plot map, it was considered a resident.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marked territory was partially inside the plot map, it was counted as a half resident.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call was heard outside of our marked plot, we documented the individual, but did not count it in the total number of residents for that species.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Species Replacement?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Golden-Winged Warbler Status Report: Itasca State Park (our study site) is within the boundaries of Golden-winged warbler core population for Minnesota-Wisconsin focal area.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Acknowledgements: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University of Minnesota Biological Station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Itasca State Park.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