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Counting methods.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Looking at the number of marked singing males on each map.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Following Whittaker’s methods, males who were marked partially on the plot were considered “half- residents”, singing males who were marked entirely inside of the plot were considered residents. Half residents were added as .5’s, when calculating the minimum and maximum number of singing males.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