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527" w:rsidRDefault="00CF2527" w:rsidP="00CF2527">
      <w:pPr>
        <w:keepNext/>
        <w:keepLines/>
        <w:spacing w:before="40" w:after="120" w:line="360" w:lineRule="auto"/>
        <w:outlineLvl w:val="6"/>
        <w:rPr>
          <w:rFonts w:ascii="Times New Roman" w:eastAsia="Times New Roman" w:hAnsi="Times New Roman" w:cs="Times New Roman"/>
          <w:bCs/>
          <w:color w:val="272727"/>
          <w:sz w:val="24"/>
          <w:szCs w:val="24"/>
        </w:rPr>
      </w:pPr>
      <w:bookmarkStart w:id="0" w:name="_GoBack"/>
      <w:bookmarkEnd w:id="0"/>
      <w:r w:rsidRPr="0050313E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AA70451" wp14:editId="445D4FEC">
            <wp:simplePos x="0" y="0"/>
            <wp:positionH relativeFrom="column">
              <wp:posOffset>-24838</wp:posOffset>
            </wp:positionH>
            <wp:positionV relativeFrom="paragraph">
              <wp:posOffset>163</wp:posOffset>
            </wp:positionV>
            <wp:extent cx="4378325" cy="5681980"/>
            <wp:effectExtent l="0" t="0" r="3175" b="0"/>
            <wp:wrapTopAndBottom/>
            <wp:docPr id="11" name="Picture 1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568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F2527" w:rsidRDefault="00CF2527" w:rsidP="00CF2527">
      <w:pPr>
        <w:keepNext/>
        <w:keepLines/>
        <w:spacing w:before="40" w:after="120" w:line="360" w:lineRule="auto"/>
        <w:outlineLvl w:val="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C3161">
        <w:rPr>
          <w:rFonts w:ascii="Times New Roman" w:eastAsia="Times New Roman" w:hAnsi="Times New Roman" w:cs="Times New Roman"/>
          <w:bCs/>
          <w:color w:val="272727"/>
          <w:sz w:val="24"/>
          <w:szCs w:val="24"/>
        </w:rPr>
        <w:t>Figure 1.</w:t>
      </w:r>
      <w:r w:rsidRPr="5DB87330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 xml:space="preserve"> </w:t>
      </w:r>
      <w:r w:rsidR="0078223F" w:rsidRPr="0078223F">
        <w:rPr>
          <w:rFonts w:ascii="Times New Roman" w:eastAsia="Calibri" w:hAnsi="Times New Roman" w:cs="Times New Roman"/>
          <w:color w:val="000000"/>
          <w:sz w:val="24"/>
          <w:szCs w:val="24"/>
        </w:rPr>
        <w:t>Minnesota Department of Natural Resources (MNDNR) Wildlife Management Areas in northwestern Minnesota, USA, with large, impounded wetlands invaded by dense cattail (</w:t>
      </w:r>
      <w:proofErr w:type="spellStart"/>
      <w:r w:rsidR="0078223F" w:rsidRPr="0078223F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Typha</w:t>
      </w:r>
      <w:proofErr w:type="spellEnd"/>
      <w:r w:rsidR="0078223F" w:rsidRPr="0078223F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78223F" w:rsidRPr="0078223F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angustifolia</w:t>
      </w:r>
      <w:proofErr w:type="spellEnd"/>
      <w:r w:rsidR="0078223F" w:rsidRPr="0078223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78223F" w:rsidRPr="0078223F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Typha</w:t>
      </w:r>
      <w:proofErr w:type="spellEnd"/>
      <w:r w:rsidR="0078223F" w:rsidRPr="0078223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x </w:t>
      </w:r>
      <w:proofErr w:type="spellStart"/>
      <w:r w:rsidR="0078223F" w:rsidRPr="0078223F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glauca</w:t>
      </w:r>
      <w:proofErr w:type="spellEnd"/>
      <w:r w:rsidR="0078223F" w:rsidRPr="0078223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) stands. We evaluated the effects of glyphosate herbicide application by the MNDNR to control dense cattail on breeding </w:t>
      </w:r>
      <w:proofErr w:type="spellStart"/>
      <w:r w:rsidR="0078223F" w:rsidRPr="0078223F">
        <w:rPr>
          <w:rFonts w:ascii="Times New Roman" w:eastAsia="Calibri" w:hAnsi="Times New Roman" w:cs="Times New Roman"/>
          <w:color w:val="000000"/>
          <w:sz w:val="24"/>
          <w:szCs w:val="24"/>
        </w:rPr>
        <w:t>marshbirds</w:t>
      </w:r>
      <w:proofErr w:type="spellEnd"/>
      <w:r w:rsidR="0078223F" w:rsidRPr="0078223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We conducted standardized </w:t>
      </w:r>
      <w:proofErr w:type="spellStart"/>
      <w:r w:rsidR="0078223F" w:rsidRPr="0078223F">
        <w:rPr>
          <w:rFonts w:ascii="Times New Roman" w:eastAsia="Calibri" w:hAnsi="Times New Roman" w:cs="Times New Roman"/>
          <w:color w:val="000000"/>
          <w:sz w:val="24"/>
          <w:szCs w:val="24"/>
        </w:rPr>
        <w:t>marshbird</w:t>
      </w:r>
      <w:proofErr w:type="spellEnd"/>
      <w:r w:rsidR="0078223F" w:rsidRPr="0078223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surveys at study sites that contained both treatment (treated with herbicide; red polygons) and control (not treated with herbicide and indicated by survey locations; located in the same or adjacent basin to treatment) areas and evaluated counts of </w:t>
      </w:r>
      <w:proofErr w:type="spellStart"/>
      <w:r w:rsidR="0078223F" w:rsidRPr="0078223F">
        <w:rPr>
          <w:rFonts w:ascii="Times New Roman" w:eastAsia="Calibri" w:hAnsi="Times New Roman" w:cs="Times New Roman"/>
          <w:color w:val="000000"/>
          <w:sz w:val="24"/>
          <w:szCs w:val="24"/>
        </w:rPr>
        <w:t>marshbirds</w:t>
      </w:r>
      <w:proofErr w:type="spellEnd"/>
      <w:r w:rsidR="0078223F" w:rsidRPr="0078223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the spring before and up to </w:t>
      </w:r>
      <w:proofErr w:type="gramStart"/>
      <w:r w:rsidR="0078223F" w:rsidRPr="0078223F">
        <w:rPr>
          <w:rFonts w:ascii="Times New Roman" w:eastAsia="Calibri" w:hAnsi="Times New Roman" w:cs="Times New Roman"/>
          <w:color w:val="000000"/>
          <w:sz w:val="24"/>
          <w:szCs w:val="24"/>
        </w:rPr>
        <w:t>3</w:t>
      </w:r>
      <w:proofErr w:type="gramEnd"/>
      <w:r w:rsidR="0078223F" w:rsidRPr="0078223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springs (2105–2018) after herbicide application.</w:t>
      </w:r>
    </w:p>
    <w:p w:rsidR="00BC2271" w:rsidRDefault="00BC2271"/>
    <w:sectPr w:rsidR="00BC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27"/>
    <w:rsid w:val="00494C0D"/>
    <w:rsid w:val="0078223F"/>
    <w:rsid w:val="00BC2271"/>
    <w:rsid w:val="00CF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9429D-B9D0-441F-99F8-FF21D750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3</cp:revision>
  <dcterms:created xsi:type="dcterms:W3CDTF">2023-02-17T21:21:00Z</dcterms:created>
  <dcterms:modified xsi:type="dcterms:W3CDTF">2023-02-20T19:45:00Z</dcterms:modified>
</cp:coreProperties>
</file>