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7AB6" w14:textId="170FDC76" w:rsidR="00F00DD7" w:rsidRDefault="00F00DD7" w:rsidP="00844475">
      <w:pPr>
        <w:keepNext/>
        <w:keepLines/>
        <w:spacing w:before="40" w:after="120" w:line="360" w:lineRule="auto"/>
        <w:outlineLvl w:val="6"/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</w:pPr>
      <w:bookmarkStart w:id="0" w:name="_Toc59303963"/>
      <w:bookmarkStart w:id="1" w:name="_Toc60225449"/>
      <w:bookmarkStart w:id="2" w:name="_Toc60226733"/>
      <w:bookmarkStart w:id="3" w:name="_Toc64312293"/>
      <w:bookmarkStart w:id="4" w:name="_Toc59303964"/>
      <w:bookmarkStart w:id="5" w:name="_Toc60225450"/>
      <w:bookmarkStart w:id="6" w:name="_Toc60226734"/>
      <w:bookmarkStart w:id="7" w:name="_Toc64312294"/>
      <w:r w:rsidRPr="0050313E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3E0ECF" wp14:editId="487E6F65">
            <wp:simplePos x="0" y="0"/>
            <wp:positionH relativeFrom="column">
              <wp:posOffset>-24838</wp:posOffset>
            </wp:positionH>
            <wp:positionV relativeFrom="paragraph">
              <wp:posOffset>163</wp:posOffset>
            </wp:positionV>
            <wp:extent cx="4378325" cy="5681980"/>
            <wp:effectExtent l="0" t="0" r="3175" b="0"/>
            <wp:wrapTopAndBottom/>
            <wp:docPr id="11" name="Picture 1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FBF104" w14:textId="6FD3701D" w:rsidR="00844475" w:rsidRDefault="00844475" w:rsidP="00844475">
      <w:pPr>
        <w:keepNext/>
        <w:keepLines/>
        <w:spacing w:before="40" w:after="120" w:line="360" w:lineRule="auto"/>
        <w:outlineLvl w:val="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C3161"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  <w:t>Figure 1.</w:t>
      </w:r>
      <w:r w:rsidRPr="5DB87330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 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>Minnesota Depa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>rtment of Natural Resources (MN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DNR) Wildlife Management Areas in northwestern Minnesota, </w:t>
      </w:r>
      <w:r w:rsidR="006255C4">
        <w:rPr>
          <w:rFonts w:ascii="Times New Roman" w:eastAsia="Calibri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SA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with large, impounded wetlands invaded by dense cattail 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79BB832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Typha angustifolia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Pr="79BB832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Typha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x </w:t>
      </w:r>
      <w:r w:rsidRPr="79BB832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glauca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stands. We evaluated the effects of glyphosate 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>herbicide application by the MN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DNR to control dense cattail on 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breeding </w:t>
      </w:r>
      <w:proofErr w:type="spellStart"/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>marshbirds</w:t>
      </w:r>
      <w:proofErr w:type="spellEnd"/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We 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conducted standardized </w:t>
      </w:r>
      <w:proofErr w:type="spellStart"/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>marshbird</w:t>
      </w:r>
      <w:proofErr w:type="spellEnd"/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surveys at 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>treatment (red polygons) and control (</w:t>
      </w:r>
      <w:r w:rsidR="006255C4">
        <w:rPr>
          <w:rFonts w:ascii="Times New Roman" w:eastAsia="Calibri" w:hAnsi="Times New Roman" w:cs="Times New Roman"/>
          <w:color w:val="000000"/>
          <w:sz w:val="24"/>
          <w:szCs w:val="24"/>
        </w:rPr>
        <w:t>indicated by survey locations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; located in the same or adjacent basin to treatment) sites and compared </w:t>
      </w:r>
      <w:r w:rsidR="006255C4">
        <w:rPr>
          <w:rFonts w:ascii="Times New Roman" w:eastAsia="Calibri" w:hAnsi="Times New Roman" w:cs="Times New Roman"/>
          <w:color w:val="000000"/>
          <w:sz w:val="24"/>
          <w:szCs w:val="24"/>
        </w:rPr>
        <w:t>counts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>marshbirds</w:t>
      </w:r>
      <w:proofErr w:type="spellEnd"/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spring 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before and up to 3 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>springs</w:t>
      </w:r>
      <w:r w:rsidR="006255C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(2105–2018)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after herbicide application.</w:t>
      </w:r>
    </w:p>
    <w:p w14:paraId="4259DB47" w14:textId="23127B45" w:rsidR="00844475" w:rsidRPr="00B64305" w:rsidRDefault="00844475" w:rsidP="00844475">
      <w:pPr>
        <w:keepNext/>
        <w:keepLines/>
        <w:spacing w:before="40" w:after="120" w:line="360" w:lineRule="auto"/>
        <w:outlineLvl w:val="6"/>
        <w:rPr>
          <w:rFonts w:ascii="Times New Roman" w:eastAsia="Times New Roman" w:hAnsi="Times New Roman" w:cs="Times New Roman"/>
          <w:b/>
          <w:color w:val="272727"/>
          <w:sz w:val="24"/>
          <w:szCs w:val="21"/>
        </w:rPr>
      </w:pPr>
    </w:p>
    <w:p w14:paraId="3E4CAFAA" w14:textId="48F50A50" w:rsidR="00844475" w:rsidRDefault="00CA3D47" w:rsidP="00844475">
      <w:pPr>
        <w:keepNext/>
        <w:keepLines/>
        <w:spacing w:before="40" w:after="120" w:line="360" w:lineRule="auto"/>
        <w:outlineLvl w:val="6"/>
        <w:rPr>
          <w:rFonts w:ascii="Times New Roman" w:eastAsia="Times New Roman" w:hAnsi="Times New Roman" w:cs="Times New Roman"/>
          <w:color w:val="272727"/>
          <w:sz w:val="24"/>
          <w:szCs w:val="21"/>
        </w:rPr>
      </w:pPr>
      <w:r>
        <w:rPr>
          <w:rFonts w:ascii="Times New Roman" w:eastAsia="Times New Roman" w:hAnsi="Times New Roman" w:cs="Times New Roman"/>
          <w:noProof/>
          <w:color w:val="272727"/>
          <w:sz w:val="24"/>
          <w:szCs w:val="21"/>
        </w:rPr>
        <w:lastRenderedPageBreak/>
        <w:drawing>
          <wp:inline distT="0" distB="0" distL="0" distR="0" wp14:anchorId="7B997F91" wp14:editId="4690D207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mLakeLayout_June22_nona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71E1" w14:textId="08182C12" w:rsidR="00844475" w:rsidRPr="0050313E" w:rsidRDefault="00844475" w:rsidP="00844475">
      <w:pPr>
        <w:keepNext/>
        <w:keepLines/>
        <w:spacing w:before="40" w:after="120" w:line="360" w:lineRule="auto"/>
        <w:outlineLvl w:val="6"/>
        <w:rPr>
          <w:rFonts w:ascii="Times New Roman" w:eastAsia="Times New Roman" w:hAnsi="Times New Roman" w:cs="Times New Roman"/>
          <w:b/>
          <w:color w:val="272727"/>
          <w:sz w:val="24"/>
          <w:szCs w:val="21"/>
        </w:rPr>
      </w:pPr>
      <w:r w:rsidRPr="00BC3161">
        <w:rPr>
          <w:rFonts w:ascii="Times New Roman" w:eastAsia="Times New Roman" w:hAnsi="Times New Roman" w:cs="Times New Roman"/>
          <w:color w:val="272727"/>
          <w:sz w:val="24"/>
          <w:szCs w:val="21"/>
        </w:rPr>
        <w:t>Figure 2.</w:t>
      </w:r>
      <w:bookmarkEnd w:id="0"/>
      <w:r w:rsidRPr="0050313E">
        <w:rPr>
          <w:rFonts w:ascii="Times New Roman" w:eastAsia="Times New Roman" w:hAnsi="Times New Roman" w:cs="Times New Roman"/>
          <w:b/>
          <w:color w:val="272727"/>
          <w:sz w:val="24"/>
          <w:szCs w:val="21"/>
        </w:rPr>
        <w:t xml:space="preserve"> </w:t>
      </w:r>
      <w:bookmarkEnd w:id="1"/>
      <w:bookmarkEnd w:id="2"/>
      <w:bookmarkEnd w:id="3"/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Map of Elm Lake Wildlife Management Area in northwestern Minnesota, </w:t>
      </w:r>
      <w:r w:rsidR="006255C4">
        <w:rPr>
          <w:rFonts w:ascii="Times New Roman" w:eastAsia="Calibri" w:hAnsi="Times New Roman" w:cs="Times New Roman"/>
          <w:color w:val="000000"/>
          <w:sz w:val="24"/>
          <w:szCs w:val="24"/>
        </w:rPr>
        <w:t>USA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indicating cattail 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79BB832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Typha angustifolia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Pr="79BB832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Typha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x </w:t>
      </w:r>
      <w:r w:rsidRPr="79BB832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glauca</w:t>
      </w:r>
      <w:r w:rsidRPr="79BB832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treatment areas that received aerial glyphosate herbicide application in </w:t>
      </w:r>
      <w:r w:rsidR="006255C4">
        <w:rPr>
          <w:rFonts w:ascii="Times New Roman" w:eastAsia="Calibri" w:hAnsi="Times New Roman" w:cs="Times New Roman"/>
          <w:color w:val="000000"/>
          <w:sz w:val="24"/>
          <w:szCs w:val="24"/>
        </w:rPr>
        <w:t>late summer and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A3D47">
        <w:rPr>
          <w:rFonts w:ascii="Times New Roman" w:eastAsia="Calibri" w:hAnsi="Times New Roman" w:cs="Times New Roman"/>
          <w:color w:val="000000"/>
          <w:sz w:val="24"/>
          <w:szCs w:val="24"/>
        </w:rPr>
        <w:t>early autumn</w:t>
      </w:r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2015, and </w:t>
      </w:r>
      <w:proofErr w:type="spellStart"/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>marshbird</w:t>
      </w:r>
      <w:proofErr w:type="spellEnd"/>
      <w:r w:rsidRPr="005031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survey point locations.</w:t>
      </w:r>
    </w:p>
    <w:p w14:paraId="1DCB3223" w14:textId="40530B10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0E53661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0BDF24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9CF3606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32E1F8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1549946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418036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6BDB80B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C82829B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BC5E51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9591A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E55C0B5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016F76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5AC4C5" w14:textId="77777777" w:rsidR="00EF069A" w:rsidRDefault="00EF069A" w:rsidP="00EF069A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8D96E4" w14:textId="0292DB4F" w:rsidR="00F00DD7" w:rsidRDefault="00833D09" w:rsidP="00EF069A">
      <w:pPr>
        <w:spacing w:line="480" w:lineRule="auto"/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272727"/>
          <w:sz w:val="24"/>
          <w:szCs w:val="24"/>
        </w:rPr>
        <w:drawing>
          <wp:inline distT="0" distB="0" distL="0" distR="0" wp14:anchorId="56F41F05" wp14:editId="1D66C9BE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ResultsCombo-1 vers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98E0" w14:textId="4DA10D9E" w:rsidR="00BC2271" w:rsidRPr="00F00DD7" w:rsidRDefault="009041C4" w:rsidP="00F00DD7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C3161"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  <w:t>Figure 3.</w:t>
      </w:r>
      <w:r w:rsidRPr="79BB832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 </w:t>
      </w:r>
      <w:bookmarkEnd w:id="4"/>
      <w:bookmarkEnd w:id="5"/>
      <w:bookmarkEnd w:id="6"/>
      <w:bookmarkEnd w:id="7"/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Expected mean </w:t>
      </w:r>
      <w:proofErr w:type="spellStart"/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</w:t>
      </w:r>
      <w:proofErr w:type="spellEnd"/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counts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A3D47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(</w:t>
      </w:r>
      <w:r w:rsidR="009B56B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error </w:t>
      </w:r>
      <w:r w:rsidR="00CA3D47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bars represent 90% confidence interval)</w:t>
      </w:r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within years 2015 to 2018 </w:t>
      </w:r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treatment and control sites in northwestern Minnesota, USA</w:t>
      </w:r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,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B56B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and the difference between expected mean </w:t>
      </w:r>
      <w:proofErr w:type="spellStart"/>
      <w:r w:rsidR="009B56B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</w:t>
      </w:r>
      <w:proofErr w:type="spellEnd"/>
      <w:r w:rsidR="009B56B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counts 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for 5 species of </w:t>
      </w:r>
      <w:proofErr w:type="spellStart"/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marshbirds</w:t>
      </w:r>
      <w:proofErr w:type="spellEnd"/>
      <w:r w:rsidR="00CC60BE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[American bittern (AMBI), least bittern (LEBI), pied-billed grebe (PBGR), sora (SORA), and Virginia rail (VIRA)]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. We evaluated whether herbicide application affected mean </w:t>
      </w:r>
      <w:proofErr w:type="spellStart"/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</w:t>
      </w:r>
      <w:proofErr w:type="spellEnd"/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counts by conducting surveys during spring breeding seasons at paired treatment and control sites and evaluated change in number of detections from </w:t>
      </w:r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the spring 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before to 3 </w:t>
      </w:r>
      <w:r w:rsidR="00CA3D47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springs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after herbicide application (2015 – 2018). Statistical results are pairwise comparisons between the mean expected counts in the control site and the herbicide sites based on a generalized linear mixed </w:t>
      </w:r>
      <w:r w:rsidR="006255C4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lastRenderedPageBreak/>
        <w:t>model with plot as a random effect and a treatment-by-year interaction that was run for each individual species (log lin</w:t>
      </w:r>
      <w:r w:rsidR="009B56B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k, Poisson family).</w:t>
      </w:r>
      <w:r w:rsidR="00D64C69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64C69" w:rsidRPr="00D64C69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highlight w:val="yellow"/>
        </w:rPr>
        <w:t>Asterisks represent significant treatment effects at p &lt; 0.10.</w:t>
      </w:r>
    </w:p>
    <w:sectPr w:rsidR="00BC2271" w:rsidRPr="00F0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C4"/>
    <w:rsid w:val="00186405"/>
    <w:rsid w:val="004D5516"/>
    <w:rsid w:val="006255C4"/>
    <w:rsid w:val="00645588"/>
    <w:rsid w:val="006D6FF2"/>
    <w:rsid w:val="007268BB"/>
    <w:rsid w:val="00781547"/>
    <w:rsid w:val="00833D09"/>
    <w:rsid w:val="00844475"/>
    <w:rsid w:val="00900709"/>
    <w:rsid w:val="009041C4"/>
    <w:rsid w:val="009B56BF"/>
    <w:rsid w:val="00A91165"/>
    <w:rsid w:val="00AD141F"/>
    <w:rsid w:val="00BC2271"/>
    <w:rsid w:val="00CA3D47"/>
    <w:rsid w:val="00CC60BE"/>
    <w:rsid w:val="00D64C69"/>
    <w:rsid w:val="00EF069A"/>
    <w:rsid w:val="00F0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6CA8"/>
  <w15:chartTrackingRefBased/>
  <w15:docId w15:val="{6AF3C84B-E3E4-45DB-9E88-00F264B4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Archer, Althea A</cp:lastModifiedBy>
  <cp:revision>2</cp:revision>
  <dcterms:created xsi:type="dcterms:W3CDTF">2022-07-22T14:58:00Z</dcterms:created>
  <dcterms:modified xsi:type="dcterms:W3CDTF">2022-07-22T14:58:00Z</dcterms:modified>
</cp:coreProperties>
</file>