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36.png" ContentType="image/png"/>
  <Override PartName="/word/media/rId31.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owls</w:t>
      </w:r>
      <w:r>
        <w:t xml:space="preserve"> </w:t>
      </w:r>
      <w:r>
        <w:t xml:space="preserve">methods</w:t>
      </w:r>
    </w:p>
    <w:p>
      <w:pPr>
        <w:pStyle w:val="Author"/>
      </w:pPr>
      <w:r>
        <w:t xml:space="preserve">Althea</w:t>
      </w:r>
      <w:r>
        <w:t xml:space="preserve"> </w:t>
      </w:r>
      <w:r>
        <w:t xml:space="preserve">Archer</w:t>
      </w:r>
    </w:p>
    <w:p>
      <w:pPr>
        <w:pStyle w:val="Date"/>
      </w:pPr>
      <w:r>
        <w:t xml:space="preserve">11/17/2020</w:t>
      </w:r>
    </w:p>
    <w:p>
      <w:pPr>
        <w:pStyle w:val="Heading1"/>
      </w:pPr>
      <w:bookmarkStart w:id="21" w:name="methods"/>
      <w:bookmarkEnd w:id="21"/>
      <w:r>
        <w:t xml:space="preserve">Methods</w:t>
      </w:r>
    </w:p>
    <w:p>
      <w:pPr>
        <w:pStyle w:val="FirstParagraph"/>
      </w:pPr>
      <w:r>
        <w:rPr>
          <w:i/>
        </w:rPr>
        <w:t xml:space="preserve">Table 1XX. Species detection records by route. Owl surveys were conducted from 2003 to 2013 in three different protected areas within El Salvador, although specific survey years varied by route.</w:t>
      </w:r>
    </w:p>
    <w:tbl>
      <w:tblPr>
        <w:tblStyle w:val="TableNormal"/>
        <w:tblW w:type="pct" w:w="4861.111111111111"/>
        <w:tblLook w:firstRow="1"/>
      </w:tblPr>
      <w:tblGrid>
        <w:gridCol w:w="1760"/>
        <w:gridCol w:w="2420"/>
        <w:gridCol w:w="660"/>
        <w:gridCol w:w="660"/>
        <w:gridCol w:w="550"/>
        <w:gridCol w:w="550"/>
        <w:gridCol w:w="550"/>
        <w:gridCol w:w="5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Common</w:t>
            </w:r>
          </w:p>
        </w:tc>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r>
      <w:tr>
        <w:tc>
          <w:p>
            <w:pPr>
              <w:pStyle w:val="Compact"/>
              <w:jc w:val="center"/>
            </w:pPr>
            <w:r>
              <w:rPr>
                <w:b/>
              </w:rPr>
              <w:t xml:space="preserve">Mottd</w:t>
            </w:r>
          </w:p>
        </w:tc>
        <w:tc>
          <w:p>
            <w:pPr>
              <w:pStyle w:val="Compact"/>
              <w:jc w:val="center"/>
            </w:pPr>
            <w:r>
              <w:t xml:space="preserve">Mottled</w:t>
            </w:r>
          </w:p>
        </w:tc>
        <w:tc>
          <w:p>
            <w:pPr>
              <w:pStyle w:val="Compact"/>
              <w:jc w:val="center"/>
            </w:pPr>
            <w:r>
              <w:t xml:space="preserve">214</w:t>
            </w:r>
          </w:p>
        </w:tc>
        <w:tc>
          <w:p>
            <w:pPr>
              <w:pStyle w:val="Compact"/>
              <w:jc w:val="center"/>
            </w:pPr>
            <w:r>
              <w:t xml:space="preserve">117</w:t>
            </w:r>
          </w:p>
        </w:tc>
        <w:tc>
          <w:p>
            <w:pPr>
              <w:pStyle w:val="Compact"/>
              <w:jc w:val="center"/>
            </w:pPr>
            <w:r>
              <w:t xml:space="preserve">1</w:t>
            </w:r>
          </w:p>
        </w:tc>
        <w:tc>
          <w:p>
            <w:pPr>
              <w:pStyle w:val="Compact"/>
              <w:jc w:val="center"/>
            </w:pPr>
            <w:r>
              <w:t xml:space="preserve">22</w:t>
            </w:r>
          </w:p>
        </w:tc>
        <w:tc>
          <w:p>
            <w:pPr>
              <w:pStyle w:val="Compact"/>
              <w:jc w:val="center"/>
            </w:pPr>
            <w:r>
              <w:t xml:space="preserve">62</w:t>
            </w:r>
          </w:p>
        </w:tc>
        <w:tc>
          <w:p>
            <w:pPr>
              <w:pStyle w:val="Compact"/>
              <w:jc w:val="center"/>
            </w:pPr>
            <w:r>
              <w:t xml:space="preserve">114</w:t>
            </w:r>
          </w:p>
        </w:tc>
      </w:tr>
      <w:tr>
        <w:tc>
          <w:p>
            <w:pPr>
              <w:pStyle w:val="Compact"/>
              <w:jc w:val="center"/>
            </w:pPr>
            <w:r>
              <w:rPr>
                <w:b/>
              </w:rPr>
              <w:t xml:space="preserve">FerPy</w:t>
            </w:r>
          </w:p>
        </w:tc>
        <w:tc>
          <w:p>
            <w:pPr>
              <w:pStyle w:val="Compact"/>
              <w:jc w:val="center"/>
            </w:pPr>
            <w:r>
              <w:t xml:space="preserve">Ferruginous Pygmy</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82</w:t>
            </w:r>
          </w:p>
        </w:tc>
        <w:tc>
          <w:p>
            <w:pPr>
              <w:pStyle w:val="Compact"/>
              <w:jc w:val="center"/>
            </w:pPr>
            <w:r>
              <w:t xml:space="preserve">98</w:t>
            </w:r>
          </w:p>
        </w:tc>
      </w:tr>
      <w:tr>
        <w:tc>
          <w:p>
            <w:pPr>
              <w:pStyle w:val="Compact"/>
              <w:jc w:val="center"/>
            </w:pPr>
            <w:r>
              <w:rPr>
                <w:b/>
              </w:rPr>
              <w:t xml:space="preserve">Specd</w:t>
            </w:r>
          </w:p>
        </w:tc>
        <w:tc>
          <w:p>
            <w:pPr>
              <w:pStyle w:val="Compact"/>
              <w:jc w:val="center"/>
            </w:pPr>
            <w:r>
              <w:t xml:space="preserve">Spectacled</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c>
          <w:p>
            <w:pPr>
              <w:pStyle w:val="Compact"/>
              <w:jc w:val="center"/>
            </w:pPr>
            <w:r>
              <w:t xml:space="preserve">75</w:t>
            </w:r>
          </w:p>
        </w:tc>
      </w:tr>
      <w:tr>
        <w:tc>
          <w:p>
            <w:pPr>
              <w:pStyle w:val="Compact"/>
              <w:jc w:val="center"/>
            </w:pPr>
            <w:r>
              <w:rPr>
                <w:b/>
              </w:rPr>
              <w:t xml:space="preserve">PacSc</w:t>
            </w:r>
          </w:p>
        </w:tc>
        <w:tc>
          <w:p>
            <w:pPr>
              <w:pStyle w:val="Compact"/>
              <w:jc w:val="center"/>
            </w:pPr>
            <w:r>
              <w:t xml:space="preserve">Pacific Screech</w:t>
            </w:r>
          </w:p>
        </w:tc>
        <w:tc>
          <w:p>
            <w:pPr>
              <w:pStyle w:val="Compact"/>
              <w:jc w:val="center"/>
            </w:pPr>
            <w:r>
              <w:t xml:space="preserve">11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9</w:t>
            </w:r>
          </w:p>
        </w:tc>
      </w:tr>
      <w:tr>
        <w:tc>
          <w:p>
            <w:pPr>
              <w:pStyle w:val="Compact"/>
              <w:jc w:val="center"/>
            </w:pPr>
            <w:r>
              <w:rPr>
                <w:b/>
              </w:rPr>
              <w:t xml:space="preserve">Barn</w:t>
            </w:r>
          </w:p>
        </w:tc>
        <w:tc>
          <w:p>
            <w:pPr>
              <w:pStyle w:val="Compact"/>
              <w:jc w:val="center"/>
            </w:pPr>
            <w:r>
              <w:t xml:space="preserve">Barn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r>
      <w:tr>
        <w:tc>
          <w:p>
            <w:pPr>
              <w:pStyle w:val="Compact"/>
              <w:jc w:val="center"/>
            </w:pPr>
            <w:r>
              <w:rPr>
                <w:b/>
              </w:rPr>
              <w:t xml:space="preserve">Styg</w:t>
            </w:r>
          </w:p>
        </w:tc>
        <w:tc>
          <w:p>
            <w:pPr>
              <w:pStyle w:val="Compact"/>
              <w:jc w:val="center"/>
            </w:pPr>
            <w:r>
              <w:t xml:space="preserve">Stygian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Whisk</w:t>
            </w:r>
          </w:p>
        </w:tc>
        <w:tc>
          <w:p>
            <w:pPr>
              <w:pStyle w:val="Compact"/>
              <w:jc w:val="center"/>
            </w:pPr>
            <w:r>
              <w:t xml:space="preserve">Whiskered Screech</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GrHor</w:t>
            </w:r>
          </w:p>
        </w:tc>
        <w:tc>
          <w:p>
            <w:pPr>
              <w:pStyle w:val="Compact"/>
              <w:jc w:val="center"/>
            </w:pPr>
            <w:r>
              <w:t xml:space="preserve">Great Horned</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Fulvous</w:t>
            </w:r>
          </w:p>
        </w:tc>
        <w:tc>
          <w:p>
            <w:pPr>
              <w:pStyle w:val="Compact"/>
              <w:jc w:val="center"/>
            </w:pPr>
            <w:r>
              <w:t xml:space="preserve">Fulvous</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Crested</w:t>
            </w:r>
          </w:p>
        </w:tc>
        <w:tc>
          <w:p>
            <w:pPr>
              <w:pStyle w:val="Compact"/>
              <w:jc w:val="center"/>
            </w:pPr>
            <w:r>
              <w:t xml:space="preserve">Lophostrix cristata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Burrowing</w:t>
            </w:r>
          </w:p>
        </w:tc>
        <w:tc>
          <w:p>
            <w:pPr>
              <w:pStyle w:val="Compact"/>
              <w:jc w:val="center"/>
            </w:pPr>
            <w:r>
              <w:t xml:space="preserve">Burrowing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BW</w:t>
            </w:r>
          </w:p>
        </w:tc>
        <w:tc>
          <w:p>
            <w:pPr>
              <w:pStyle w:val="Compact"/>
              <w:jc w:val="center"/>
            </w:pPr>
            <w:r>
              <w:t xml:space="preserve">Black-and-white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Striped</w:t>
            </w:r>
          </w:p>
        </w:tc>
        <w:tc>
          <w:p>
            <w:pPr>
              <w:pStyle w:val="Compact"/>
              <w:jc w:val="center"/>
            </w:pPr>
            <w:r>
              <w:t xml:space="preserve">Striped</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Saw-whet</w:t>
            </w:r>
          </w:p>
        </w:tc>
        <w:tc>
          <w:p>
            <w:pPr>
              <w:pStyle w:val="Compact"/>
              <w:jc w:val="center"/>
            </w:pPr>
            <w:r>
              <w:t xml:space="preserve">Unspotted Saw-whet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Unk</w:t>
            </w:r>
          </w:p>
        </w:tc>
        <w:tc>
          <w:p>
            <w:pPr>
              <w:pStyle w:val="Compact"/>
              <w:jc w:val="center"/>
            </w:pPr>
            <w:r>
              <w:t xml:space="preserve">Unknown</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Heading2"/>
      </w:pPr>
      <w:bookmarkStart w:id="22" w:name="single-species-occupancy-model-framework"/>
      <w:bookmarkEnd w:id="22"/>
      <w:r>
        <w:t xml:space="preserve">Single-Species Occupancy Model Framework</w:t>
      </w:r>
    </w:p>
    <w:p>
      <w:pPr>
        <w:pStyle w:val="FirstParagraph"/>
      </w:pPr>
      <w:r>
        <w:t xml:space="preserve">We modeled occupancy within each route, year, and survey assuming that the probability of occupancy would be closed across surveys of a given route in a given year. In other words, for any single species of owl, we assumed that the probability of a route being occupied by that owl species would not change between surveys within a year but that the probability of occupancy would vary between years. 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sty m:val="p"/>
                  </m:rPr>
                  <m:t>the year each survey was conducted (here </m:t>
                </m:r>
                <m:r>
                  <m:t>t</m:t>
                </m:r>
                <m:r>
                  <m:t>=</m:t>
                </m:r>
                <m:r>
                  <m:t>1</m:t>
                </m:r>
                <m:r>
                  <m:t>,</m:t>
                </m:r>
                <m:r>
                  <m:t>2</m:t>
                </m:r>
                <m:r>
                  <m:t>,</m:t>
                </m:r>
                <m:r>
                  <m:t>…</m:t>
                </m:r>
                <m:r>
                  <m:t>,</m:t>
                </m:r>
                <m:r>
                  <m:t>11</m:t>
                </m:r>
                <m:r>
                  <m:t>)</m:t>
                </m:r>
                <m:r>
                  <m:rPr>
                    <m:sty m:val="p"/>
                  </m:rPr>
                  <m:t> corresponding with 2003-2013</m:t>
                </m:r>
              </m:e>
            </m:mr>
            <m:mr>
              <m:e>
                <m:r>
                  <m:t>h</m:t>
                </m:r>
              </m:e>
              <m:e>
                <m:r>
                  <m:t>=</m:t>
                </m:r>
                <m:r>
                  <m:rPr>
                    <m:sty m:val="p"/>
                  </m:rPr>
                  <m:t>the individual route (here </m:t>
                </m:r>
                <m:r>
                  <m:t>h</m:t>
                </m:r>
                <m:r>
                  <m:t>=</m:t>
                </m:r>
                <m:r>
                  <m:t>1</m:t>
                </m:r>
                <m:r>
                  <m:t>,</m:t>
                </m:r>
                <m:r>
                  <m:t>2</m:t>
                </m:r>
                <m:r>
                  <m:t>,</m:t>
                </m:r>
                <m:r>
                  <m:t>…</m:t>
                </m:r>
                <m:r>
                  <m:t>,</m:t>
                </m:r>
                <m:r>
                  <m:t>6</m:t>
                </m:r>
                <m:r>
                  <m:t>)</m:t>
                </m:r>
                <m:r>
                  <m:rPr>
                    <m:sty m:val="p"/>
                  </m:rPr>
                  <m:t> corresponding with EI1, EI2, M1, M2, N1, N2</m:t>
                </m:r>
              </m:e>
            </m:mr>
            <m:mr>
              <m:e>
                <m:r>
                  <m:t>i</m:t>
                </m:r>
              </m:e>
              <m:e>
                <m:r>
                  <m:t>=</m:t>
                </m:r>
                <m:r>
                  <m:rPr>
                    <m:sty m:val="p"/>
                  </m:rPr>
                  <m:t>the individual surveys conducted in each year and route (here </m:t>
                </m:r>
                <m:r>
                  <m:t>i</m:t>
                </m:r>
                <m:r>
                  <m:t>=</m:t>
                </m:r>
                <m:r>
                  <m:t>1</m:t>
                </m:r>
                <m:r>
                  <m:t>,</m:t>
                </m:r>
                <m:r>
                  <m:t>2</m:t>
                </m:r>
                <m:r>
                  <m:t>,</m:t>
                </m:r>
                <m:r>
                  <m:t>3</m:t>
                </m:r>
                <m:r>
                  <m:t>)</m:t>
                </m:r>
              </m:e>
            </m:mr>
            <m:mr>
              <m:e>
                <m:r>
                  <m:t>j</m:t>
                </m:r>
              </m:e>
              <m:e>
                <m:r>
                  <m:t>=</m:t>
                </m:r>
                <m:r>
                  <m:rPr>
                    <m:sty m:val="p"/>
                  </m:rPr>
                  <m:t>the individual stations along each route (here </m:t>
                </m:r>
                <m:r>
                  <m:t>j</m:t>
                </m:r>
                <m:r>
                  <m:t>=</m:t>
                </m:r>
                <m:r>
                  <m:t>1</m:t>
                </m:r>
                <m:r>
                  <m:t>,</m:t>
                </m:r>
                <m:r>
                  <m:t>2</m:t>
                </m:r>
                <m:r>
                  <m:t>,</m:t>
                </m:r>
                <m:r>
                  <m:t>…</m:t>
                </m:r>
                <m:r>
                  <m:t>,</m:t>
                </m:r>
                <m:r>
                  <m:t>10</m:t>
                </m:r>
                <m:r>
                  <m:t>)</m:t>
                </m:r>
              </m:e>
            </m:mr>
            <m:mr>
              <m:e>
                <m:r>
                  <m:t>k</m:t>
                </m:r>
              </m:e>
              <m:e>
                <m:r>
                  <m:t>=</m:t>
                </m:r>
                <m:r>
                  <m:rPr>
                    <m:sty m:val="p"/>
                  </m:rPr>
                  <m:t>the broadcast call species (here </m:t>
                </m:r>
                <m:r>
                  <m:t>k</m:t>
                </m:r>
                <m:r>
                  <m:t>=</m:t>
                </m:r>
                <m:r>
                  <m:t>1</m:t>
                </m:r>
                <m:r>
                  <m:t>,</m:t>
                </m:r>
                <m:r>
                  <m:t>2</m:t>
                </m:r>
                <m:r>
                  <m:t>,</m:t>
                </m:r>
                <m:r>
                  <m:t>…</m:t>
                </m:r>
                <m:r>
                  <m:t>,</m:t>
                </m:r>
                <m:r>
                  <m:t>10</m:t>
                </m:r>
                <m:r>
                  <m:t>)</m:t>
                </m:r>
              </m:e>
            </m:mr>
            <m:mr>
              <m:e>
                <m:sSub>
                  <m:e>
                    <m:r>
                      <m:t>z</m:t>
                    </m:r>
                  </m:e>
                  <m:sub>
                    <m:r>
                      <m:t>t</m:t>
                    </m:r>
                    <m:r>
                      <m:t>,</m:t>
                    </m:r>
                    <m:r>
                      <m:t>h</m:t>
                    </m:r>
                    <m:r>
                      <m:t>,</m:t>
                    </m:r>
                    <m:r>
                      <m:t>i</m:t>
                    </m:r>
                  </m:sub>
                </m:sSub>
              </m:e>
              <m:e>
                <m:r>
                  <m:t>=</m:t>
                </m:r>
                <m:r>
                  <m:rP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sty m:val="p"/>
                  </m:rPr>
                  <m:t>a random variable equal to 1 when an owl was detected and 0 otherwise</m:t>
                </m:r>
              </m:e>
            </m:mr>
          </m:m>
        </m:oMath>
      </m:oMathPara>
    </w:p>
    <w:p>
      <w:pPr>
        <w:pStyle w:val="FirstParagraph"/>
      </w:pPr>
      <w:r>
        <w:t xml:space="preserve">We assumed that occupancy in each individual survey (</w:t>
      </w:r>
      <m:oMath>
        <m:sSub>
          <m:e>
            <m:r>
              <m:t>z</m:t>
            </m:r>
          </m:e>
          <m:sub>
            <m:r>
              <m:t>t</m:t>
            </m:r>
            <m:r>
              <m:t>,</m:t>
            </m:r>
            <m:r>
              <m:t>h</m:t>
            </m:r>
            <m:r>
              <m:t>,</m:t>
            </m:r>
            <m:r>
              <m:t>i</m:t>
            </m:r>
          </m:sub>
        </m:sSub>
      </m:oMath>
      <w:r>
        <w:t xml:space="preserve">) was the outcome of Bernoulli trials with a probability of occupancy,</w:t>
      </w:r>
      <w:r>
        <w:t xml:space="preserve"> </w:t>
      </w:r>
      <m:oMath>
        <m:sSub>
          <m:e>
            <m:r>
              <m:t>ψ</m:t>
            </m:r>
          </m:e>
          <m:sub>
            <m:r>
              <m:t>t</m:t>
            </m:r>
            <m:r>
              <m:t>,</m:t>
            </m:r>
            <m:r>
              <m:t>h</m:t>
            </m:r>
          </m:sub>
        </m:sSub>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sty m:val="p"/>
                  </m:rPr>
                  <m:t>logit</m:t>
                </m:r>
                <m:r>
                  <m:t>(</m:t>
                </m:r>
                <m:sSubSup>
                  <m:e>
                    <m:r>
                      <m:t>μ</m:t>
                    </m:r>
                  </m:e>
                  <m:sub>
                    <m:r>
                      <m:t>t</m:t>
                    </m:r>
                    <m:r>
                      <m:t>,</m:t>
                    </m:r>
                    <m:r>
                      <m:t>h</m:t>
                    </m:r>
                  </m:sub>
                  <m:sup>
                    <m:r>
                      <m:t>ψ</m:t>
                    </m:r>
                  </m:sup>
                </m:sSubSup>
                <m:r>
                  <m:t>)</m:t>
                </m:r>
              </m:e>
              <m:e>
                <m:r>
                  <m:t>∼</m:t>
                </m:r>
                <m:r>
                  <m:rPr>
                    <m:sty m:val="p"/>
                  </m:rPr>
                  <m:t>N</m:t>
                </m:r>
                <m:r>
                  <m:t>(</m:t>
                </m:r>
                <m:r>
                  <m:t>0</m:t>
                </m:r>
                <m:r>
                  <m:t>,</m:t>
                </m:r>
                <m:r>
                  <m:t>2.25</m:t>
                </m:r>
                <m:r>
                  <m:t>)</m:t>
                </m:r>
              </m:e>
            </m:mr>
            <m:mr>
              <m:e>
                <m:r>
                  <m:rPr>
                    <m:sty m:val="p"/>
                  </m:rPr>
                  <m:t>ln</m:t>
                </m:r>
                <m:r>
                  <m:t>(</m:t>
                </m:r>
                <m:sSubSup>
                  <m:e>
                    <m:r>
                      <m:t>ρ</m:t>
                    </m:r>
                  </m:e>
                  <m:sub>
                    <m:r>
                      <m:t>t</m:t>
                    </m:r>
                    <m:r>
                      <m:t>,</m:t>
                    </m:r>
                    <m:r>
                      <m:t>h</m:t>
                    </m:r>
                  </m:sub>
                  <m:sup>
                    <m:r>
                      <m:t>ψ</m:t>
                    </m:r>
                  </m:sup>
                </m:sSubSup>
                <m:r>
                  <m:t>)</m:t>
                </m:r>
              </m:e>
              <m:e>
                <m:r>
                  <m:t>∼</m:t>
                </m:r>
                <m:r>
                  <m:rPr>
                    <m:sty m:val="p"/>
                  </m:rPr>
                  <m:t>N</m:t>
                </m:r>
                <m:r>
                  <m:t>(</m:t>
                </m:r>
                <m:r>
                  <m:t>5</m:t>
                </m:r>
                <m:r>
                  <m:t>,</m:t>
                </m:r>
                <m:r>
                  <m:t>1</m:t>
                </m:r>
                <m:r>
                  <m:t>)</m:t>
                </m:r>
                <m:r>
                  <m:rP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species-specific broadcast call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logit</m:t>
                </m:r>
                <m:r>
                  <m:t>(</m:t>
                </m:r>
                <m:sSub>
                  <m:e>
                    <m:r>
                      <m:t>p</m:t>
                    </m:r>
                  </m:e>
                  <m:sub>
                    <m:r>
                      <m:t>t</m:t>
                    </m:r>
                    <m:r>
                      <m:t>,</m:t>
                    </m:r>
                    <m:r>
                      <m:t>h</m:t>
                    </m:r>
                    <m:r>
                      <m:t>,</m:t>
                    </m:r>
                    <m:r>
                      <m:t>i</m:t>
                    </m:r>
                    <m:r>
                      <m:t>,</m:t>
                    </m:r>
                    <m:r>
                      <m:t>j</m:t>
                    </m:r>
                    <m:r>
                      <m:t>,</m:t>
                    </m:r>
                    <m:r>
                      <m:t>k</m:t>
                    </m:r>
                  </m:sub>
                </m:sSub>
                <m:r>
                  <m:t>)</m:t>
                </m:r>
              </m:e>
              <m:e>
                <m:r>
                  <m:t>=</m:t>
                </m:r>
                <m:sSub>
                  <m:e>
                    <m:r>
                      <m:t>β</m:t>
                    </m:r>
                  </m:e>
                  <m:sub>
                    <m:r>
                      <m:rPr>
                        <m:sty m:val="p"/>
                      </m:rPr>
                      <m:t>Pre-broadcast</m:t>
                    </m:r>
                  </m:sub>
                </m:sSub>
                <m:sSub>
                  <m:e>
                    <m:r>
                      <m:t>X</m:t>
                    </m:r>
                  </m:e>
                  <m:sub>
                    <m:r>
                      <m:rPr>
                        <m:sty m:val="p"/>
                      </m:rPr>
                      <m:t>Pre-broadcast</m:t>
                    </m:r>
                  </m:sub>
                </m:sSub>
                <m:r>
                  <m:t>+</m:t>
                </m:r>
              </m:e>
            </m:mr>
            <m:mr>
              <m:e/>
              <m:e>
                <m:r>
                  <m:t>=</m:t>
                </m:r>
                <m:sSub>
                  <m:e>
                    <m:r>
                      <m:t>β</m:t>
                    </m:r>
                  </m:e>
                  <m:sub>
                    <m:r>
                      <m:rPr>
                        <m:sty m:val="p"/>
                      </m:rPr>
                      <m:t>Mottled</m:t>
                    </m:r>
                  </m:sub>
                </m:sSub>
                <m:sSub>
                  <m:e>
                    <m:r>
                      <m:t>X</m:t>
                    </m:r>
                  </m:e>
                  <m:sub>
                    <m:r>
                      <m:rPr>
                        <m:sty m:val="p"/>
                      </m:rPr>
                      <m:t>Mottled</m:t>
                    </m:r>
                  </m:sub>
                </m:sSub>
                <m:r>
                  <m:t>+</m:t>
                </m:r>
              </m:e>
            </m:mr>
            <m:mr>
              <m:e/>
              <m:e>
                <m:r>
                  <m:t>=</m:t>
                </m:r>
                <m:sSub>
                  <m:e>
                    <m:r>
                      <m:t>β</m:t>
                    </m:r>
                  </m:e>
                  <m:sub>
                    <m:r>
                      <m:rPr>
                        <m:sty m:val="p"/>
                      </m:rPr>
                      <m:t>Pacific</m:t>
                    </m:r>
                  </m:sub>
                </m:sSub>
                <m:sSub>
                  <m:e>
                    <m:r>
                      <m:t>X</m:t>
                    </m:r>
                  </m:e>
                  <m:sub>
                    <m:r>
                      <m:rPr>
                        <m:sty m:val="p"/>
                      </m:rPr>
                      <m:t>Pacific</m:t>
                    </m:r>
                  </m:sub>
                </m:sSub>
                <m:r>
                  <m:t>+</m:t>
                </m:r>
              </m:e>
            </m:mr>
            <m:mr>
              <m:e/>
              <m:e>
                <m:r>
                  <m:t>=</m:t>
                </m:r>
                <m:sSub>
                  <m:e>
                    <m:r>
                      <m:t>β</m:t>
                    </m:r>
                  </m:e>
                  <m:sub>
                    <m:r>
                      <m:rPr>
                        <m:sty m:val="p"/>
                      </m:rPr>
                      <m:t>Crested</m:t>
                    </m:r>
                  </m:sub>
                </m:sSub>
                <m:sSub>
                  <m:e>
                    <m:r>
                      <m:t>X</m:t>
                    </m:r>
                  </m:e>
                  <m:sub>
                    <m:r>
                      <m:rPr>
                        <m:sty m:val="p"/>
                      </m:rPr>
                      <m:t>Crested</m:t>
                    </m:r>
                  </m:sub>
                </m:sSub>
                <m:r>
                  <m:t>+</m:t>
                </m:r>
              </m:e>
            </m:mr>
            <m:mr>
              <m:e/>
              <m:e>
                <m:r>
                  <m:t>=</m:t>
                </m:r>
                <m:sSub>
                  <m:e>
                    <m:r>
                      <m:t>β</m:t>
                    </m:r>
                  </m:e>
                  <m:sub>
                    <m:r>
                      <m:rPr>
                        <m:sty m:val="p"/>
                      </m:rPr>
                      <m:t>Black and White</m:t>
                    </m:r>
                  </m:sub>
                </m:sSub>
                <m:sSub>
                  <m:e>
                    <m:r>
                      <m:t>X</m:t>
                    </m:r>
                  </m:e>
                  <m:sub>
                    <m:r>
                      <m:rPr>
                        <m:sty m:val="p"/>
                      </m:rPr>
                      <m:t>Black and White</m:t>
                    </m:r>
                  </m:sub>
                </m:sSub>
                <m:r>
                  <m:t>+</m:t>
                </m:r>
              </m:e>
            </m:mr>
            <m:mr>
              <m:e/>
              <m:e>
                <m:r>
                  <m:t>=</m:t>
                </m:r>
                <m:sSub>
                  <m:e>
                    <m:r>
                      <m:t>β</m:t>
                    </m:r>
                  </m:e>
                  <m:sub>
                    <m:r>
                      <m:rPr>
                        <m:sty m:val="p"/>
                      </m:rPr>
                      <m:t>Spectacled</m:t>
                    </m:r>
                  </m:sub>
                </m:sSub>
                <m:sSub>
                  <m:e>
                    <m:r>
                      <m:t>X</m:t>
                    </m:r>
                  </m:e>
                  <m:sub>
                    <m:r>
                      <m:rPr>
                        <m:sty m:val="p"/>
                      </m:rPr>
                      <m:t>Spectacled</m:t>
                    </m:r>
                  </m:sub>
                </m:sSub>
                <m:r>
                  <m:t>+</m:t>
                </m:r>
              </m:e>
            </m:mr>
            <m:mr>
              <m:e/>
              <m:e>
                <m:r>
                  <m:t>=</m:t>
                </m:r>
                <m:sSub>
                  <m:e>
                    <m:r>
                      <m:t>β</m:t>
                    </m:r>
                  </m:e>
                  <m:sub>
                    <m:r>
                      <m:rPr>
                        <m:sty m:val="p"/>
                      </m:rPr>
                      <m:t>Whiskered</m:t>
                    </m:r>
                  </m:sub>
                </m:sSub>
                <m:sSub>
                  <m:e>
                    <m:r>
                      <m:t>X</m:t>
                    </m:r>
                  </m:e>
                  <m:sub>
                    <m:r>
                      <m:rPr>
                        <m:sty m:val="p"/>
                      </m:rPr>
                      <m:t>Whiskered</m:t>
                    </m:r>
                  </m:sub>
                </m:sSub>
                <m:r>
                  <m:t>+</m:t>
                </m:r>
              </m:e>
            </m:mr>
            <m:mr>
              <m:e/>
              <m:e>
                <m:r>
                  <m:t>=</m:t>
                </m:r>
                <m:sSub>
                  <m:e>
                    <m:r>
                      <m:t>β</m:t>
                    </m:r>
                  </m:e>
                  <m:sub>
                    <m:r>
                      <m:rPr>
                        <m:sty m:val="p"/>
                      </m:rPr>
                      <m:t>Guat Barred</m:t>
                    </m:r>
                  </m:sub>
                </m:sSub>
                <m:sSub>
                  <m:e>
                    <m:r>
                      <m:t>X</m:t>
                    </m:r>
                  </m:e>
                  <m:sub>
                    <m:r>
                      <m:rPr>
                        <m:sty m:val="p"/>
                      </m:rPr>
                      <m:t>Guat Barred</m:t>
                    </m:r>
                  </m:sub>
                </m:sSub>
                <m:r>
                  <m:t>+</m:t>
                </m:r>
              </m:e>
            </m:mr>
            <m:mr>
              <m:e/>
              <m:e>
                <m:r>
                  <m:t>=</m:t>
                </m:r>
                <m:sSub>
                  <m:e>
                    <m:r>
                      <m:t>β</m:t>
                    </m:r>
                  </m:e>
                  <m:sub>
                    <m:r>
                      <m:rPr>
                        <m:sty m:val="p"/>
                      </m:rPr>
                      <m:t>Stygian</m:t>
                    </m:r>
                  </m:sub>
                </m:sSub>
                <m:sSub>
                  <m:e>
                    <m:r>
                      <m:t>X</m:t>
                    </m:r>
                  </m:e>
                  <m:sub>
                    <m:r>
                      <m:rPr>
                        <m:sty m:val="p"/>
                      </m:rPr>
                      <m:t>Stygian</m:t>
                    </m:r>
                  </m:sub>
                </m:sSub>
                <m:r>
                  <m:t>+</m:t>
                </m:r>
              </m:e>
            </m:mr>
            <m:mr>
              <m:e/>
              <m:e>
                <m:r>
                  <m:t>=</m:t>
                </m:r>
                <m:sSub>
                  <m:e>
                    <m:r>
                      <m:t>β</m:t>
                    </m:r>
                  </m:e>
                  <m:sub>
                    <m:r>
                      <m:rPr>
                        <m:sty m:val="p"/>
                      </m:rPr>
                      <m:t>Great Horned</m:t>
                    </m:r>
                  </m:sub>
                </m:sSub>
                <m:sSub>
                  <m:e>
                    <m:r>
                      <m:t>X</m:t>
                    </m:r>
                  </m:e>
                  <m:sub>
                    <m:r>
                      <m:rPr>
                        <m:sty m:val="p"/>
                      </m:rPr>
                      <m:t>Great Horned</m:t>
                    </m:r>
                  </m:sub>
                </m:sSub>
              </m:e>
            </m:mr>
          </m:m>
        </m:oMath>
      </m:oMathPara>
    </w:p>
    <w:p>
      <w:pPr>
        <w:pStyle w:val="FirstParagraph"/>
      </w:pPr>
      <w:r>
        <w:t xml:space="preserve">This model provides a consistent probability of detection for all surveys in the first two minutes of each observation period, before the broadcast call was played (</w:t>
      </w:r>
      <m:oMath>
        <m:r>
          <m:t>k</m:t>
        </m:r>
        <m:r>
          <m:t>=</m:t>
        </m:r>
        <m:r>
          <m:rPr>
            <m:sty m:val="p"/>
          </m:rPr>
          <m:t>Pre-broadcast</m:t>
        </m:r>
      </m:oMath>
      <w:r>
        <w:t xml:space="preserve">). Then, the probability of detection for each post-broadcast time period depended which call had been played. This allowed species-specific behavior in response to the different broadcast calls</w:t>
      </w:r>
      <w:r>
        <w:t xml:space="preserve"> </w:t>
      </w:r>
      <w:r>
        <w:t xml:space="preserve">(Baumgardt et al. 2019)</w:t>
      </w:r>
      <w:r>
        <w:t xml:space="preserve">. We used means parameterization for the logistic regression model such that the coefficients were interpretable as the effect of that specific broadcast call</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w:t>
      </w:r>
      <w:r>
        <w:t xml:space="preserve"> </w:t>
      </w:r>
      <m:oMath>
        <m:sSub>
          <m:e>
            <m:r>
              <m:t>β</m:t>
            </m:r>
          </m:e>
          <m:sub>
            <m:r>
              <m:t>k</m:t>
            </m:r>
          </m:sub>
        </m:sSub>
        <m:r>
          <m:t>∼</m:t>
        </m:r>
        <m:r>
          <m:rPr>
            <m:sty m:val="p"/>
          </m:rPr>
          <m:t>Cauchy</m:t>
        </m:r>
        <m:r>
          <m:t>(</m:t>
        </m:r>
        <m:r>
          <m:rPr>
            <m:sty m:val="p"/>
          </m:rPr>
          <m:t>precision</m:t>
        </m:r>
        <m:r>
          <m:t>=</m:t>
        </m:r>
        <m:r>
          <m:t>0.16</m:t>
        </m:r>
        <m:r>
          <m:t>)</m:t>
        </m:r>
      </m:oMath>
      <w:r>
        <w:t xml:space="preserve">.</w:t>
      </w:r>
    </w:p>
    <w:p>
      <w:pPr>
        <w:pStyle w:val="BodyText"/>
      </w:pPr>
      <w:r>
        <w:t xml:space="preserve">The broadcast calls varied between routes, but were consistent at each route and station across years (Table 2XX). Thus, the effective sample sizes of the different broadcast calls varied.</w:t>
      </w:r>
    </w:p>
    <w:p>
      <w:pPr>
        <w:pStyle w:val="BodyText"/>
      </w:pPr>
      <w:r>
        <w:rPr>
          <w:i/>
        </w:rPr>
        <w:t xml:space="preserve">Table 2XX. Broadcast calls by route and station. Owl surveys were conducted from 2003 to 2013 in three different protected areas within El Salvador. Pre-recorded owl calls were broadcast after 2 minutes of silent listening.</w:t>
      </w:r>
    </w:p>
    <w:tbl>
      <w:tblPr>
        <w:tblStyle w:val="TableNormal"/>
        <w:tblW w:type="pct" w:w="5000.0"/>
        <w:tblLook w:firstRow="1"/>
      </w:tblPr>
      <w:tblGrid>
        <w:gridCol w:w="1015"/>
        <w:gridCol w:w="1015"/>
        <w:gridCol w:w="1421"/>
        <w:gridCol w:w="1421"/>
        <w:gridCol w:w="1015"/>
        <w:gridCol w:w="1015"/>
        <w:gridCol w:w="1015"/>
      </w:tblGrid>
      <w:tr>
        <w:trPr>
          <w:cnfStyle w:firstRow="1"/>
        </w:trPr>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c>
          <w:tcPr>
            <w:tcBorders>
              <w:bottom w:val="single"/>
            </w:tcBorders>
            <w:vAlign w:val="bottom"/>
          </w:tcPr>
          <w:p>
            <w:pPr>
              <w:pStyle w:val="Compact"/>
              <w:jc w:val="center"/>
            </w:pPr>
            <w:r>
              <w:t xml:space="preserve">Station</w:t>
            </w:r>
          </w:p>
        </w:tc>
      </w:tr>
      <w:tr>
        <w:tc>
          <w:p>
            <w:pPr>
              <w:pStyle w:val="Compact"/>
              <w:jc w:val="center"/>
            </w:pPr>
            <w:r>
              <w:t xml:space="preserve">PacSc</w:t>
            </w:r>
          </w:p>
        </w:tc>
        <w:tc>
          <w:p>
            <w:pPr>
              <w:pStyle w:val="Compact"/>
              <w:jc w:val="center"/>
            </w:pPr>
            <w:r>
              <w:t xml:space="preserve">PacSc</w:t>
            </w:r>
          </w:p>
        </w:tc>
        <w:tc>
          <w:p>
            <w:pPr>
              <w:pStyle w:val="Compact"/>
              <w:jc w:val="center"/>
            </w:pPr>
            <w:r>
              <w:t xml:space="preserve">Whisk</w:t>
            </w:r>
          </w:p>
        </w:tc>
        <w:tc>
          <w:p>
            <w:pPr>
              <w:pStyle w:val="Compact"/>
              <w:jc w:val="center"/>
            </w:pPr>
            <w:r>
              <w:t xml:space="preserve">Whisk</w:t>
            </w:r>
          </w:p>
        </w:tc>
        <w:tc>
          <w:p>
            <w:pPr>
              <w:pStyle w:val="Compact"/>
              <w:jc w:val="center"/>
            </w:pPr>
            <w:r>
              <w:t xml:space="preserve">PacSc</w:t>
            </w:r>
          </w:p>
        </w:tc>
        <w:tc>
          <w:p>
            <w:pPr>
              <w:pStyle w:val="Compact"/>
              <w:jc w:val="center"/>
            </w:pPr>
            <w:r>
              <w:t xml:space="preserve">PacSc</w:t>
            </w:r>
          </w:p>
        </w:tc>
        <w:tc>
          <w:p>
            <w:pPr>
              <w:pStyle w:val="Compact"/>
              <w:jc w:val="center"/>
            </w:pPr>
            <w:r>
              <w:t xml:space="preserve">1</w:t>
            </w:r>
          </w:p>
        </w:tc>
      </w:tr>
      <w:tr>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2</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Guat Barred</w:t>
            </w:r>
          </w:p>
        </w:tc>
        <w:tc>
          <w:p>
            <w:pPr>
              <w:pStyle w:val="Compact"/>
              <w:jc w:val="center"/>
            </w:pPr>
            <w:r>
              <w:t xml:space="preserve">Guat 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3</w:t>
            </w:r>
          </w:p>
        </w:tc>
      </w:tr>
      <w:tr>
        <w:tc>
          <w:p>
            <w:pPr>
              <w:pStyle w:val="Compact"/>
              <w:jc w:val="center"/>
            </w:pPr>
            <w:r>
              <w:t xml:space="preserve">BW</w:t>
            </w:r>
          </w:p>
        </w:tc>
        <w:tc>
          <w:p>
            <w:pPr>
              <w:pStyle w:val="Compact"/>
              <w:jc w:val="center"/>
            </w:pPr>
            <w:r>
              <w:t xml:space="preserve">BW</w:t>
            </w:r>
          </w:p>
        </w:tc>
        <w:tc>
          <w:p>
            <w:pPr>
              <w:pStyle w:val="Compact"/>
              <w:jc w:val="center"/>
            </w:pPr>
            <w:r>
              <w:t xml:space="preserve">Styg</w:t>
            </w:r>
          </w:p>
        </w:tc>
        <w:tc>
          <w:p>
            <w:pPr>
              <w:pStyle w:val="Compact"/>
              <w:jc w:val="center"/>
            </w:pPr>
            <w:r>
              <w:t xml:space="preserve">Styg</w:t>
            </w:r>
          </w:p>
        </w:tc>
        <w:tc>
          <w:p>
            <w:pPr>
              <w:pStyle w:val="Compact"/>
              <w:jc w:val="center"/>
            </w:pPr>
            <w:r>
              <w:t xml:space="preserve">BW</w:t>
            </w:r>
          </w:p>
        </w:tc>
        <w:tc>
          <w:p>
            <w:pPr>
              <w:pStyle w:val="Compact"/>
              <w:jc w:val="center"/>
            </w:pPr>
            <w:r>
              <w:t xml:space="preserve">BW</w:t>
            </w:r>
          </w:p>
        </w:tc>
        <w:tc>
          <w:p>
            <w:pPr>
              <w:pStyle w:val="Compact"/>
              <w:jc w:val="center"/>
            </w:pPr>
            <w:r>
              <w:t xml:space="preserve">4</w:t>
            </w:r>
          </w:p>
        </w:tc>
      </w:tr>
      <w:tr>
        <w:tc>
          <w:p>
            <w:pPr>
              <w:pStyle w:val="Compact"/>
              <w:jc w:val="center"/>
            </w:pPr>
            <w:r>
              <w:t xml:space="preserve">Specd</w:t>
            </w:r>
          </w:p>
        </w:tc>
        <w:tc>
          <w:p>
            <w:pPr>
              <w:pStyle w:val="Compact"/>
              <w:jc w:val="center"/>
            </w:pPr>
            <w:r>
              <w:t xml:space="preserve">Specd</w:t>
            </w:r>
          </w:p>
        </w:tc>
        <w:tc>
          <w:p>
            <w:pPr>
              <w:pStyle w:val="Compact"/>
              <w:jc w:val="center"/>
            </w:pPr>
            <w:r>
              <w:t xml:space="preserve">GrHor</w:t>
            </w:r>
          </w:p>
        </w:tc>
        <w:tc>
          <w:p>
            <w:pPr>
              <w:pStyle w:val="Compact"/>
              <w:jc w:val="center"/>
            </w:pPr>
            <w:r>
              <w:t xml:space="preserve">GrHor</w:t>
            </w:r>
          </w:p>
        </w:tc>
        <w:tc>
          <w:p>
            <w:pPr>
              <w:pStyle w:val="Compact"/>
              <w:jc w:val="center"/>
            </w:pPr>
            <w:r>
              <w:t xml:space="preserve">Specd</w:t>
            </w:r>
          </w:p>
        </w:tc>
        <w:tc>
          <w:p>
            <w:pPr>
              <w:pStyle w:val="Compact"/>
              <w:jc w:val="center"/>
            </w:pPr>
            <w:r>
              <w:t xml:space="preserve">Specd</w:t>
            </w:r>
          </w:p>
        </w:tc>
        <w:tc>
          <w:p>
            <w:pPr>
              <w:pStyle w:val="Compact"/>
              <w:jc w:val="center"/>
            </w:pPr>
            <w:r>
              <w:t xml:space="preserve">5</w:t>
            </w:r>
          </w:p>
        </w:tc>
      </w:tr>
      <w:tr>
        <w:tc>
          <w:p>
            <w:pPr>
              <w:pStyle w:val="Compact"/>
              <w:jc w:val="center"/>
            </w:pPr>
            <w:r>
              <w:t xml:space="preserve">PacSc</w:t>
            </w:r>
          </w:p>
        </w:tc>
        <w:tc>
          <w:p>
            <w:pPr>
              <w:pStyle w:val="Compact"/>
              <w:jc w:val="center"/>
            </w:pPr>
            <w:r>
              <w:t xml:space="preserve">PacSc</w:t>
            </w:r>
          </w:p>
        </w:tc>
        <w:tc>
          <w:p>
            <w:pPr>
              <w:pStyle w:val="Compact"/>
              <w:jc w:val="center"/>
            </w:pPr>
            <w:r>
              <w:t xml:space="preserve">Whisk</w:t>
            </w:r>
          </w:p>
        </w:tc>
        <w:tc>
          <w:p>
            <w:pPr>
              <w:pStyle w:val="Compact"/>
              <w:jc w:val="center"/>
            </w:pPr>
            <w:r>
              <w:t xml:space="preserve">Whisk</w:t>
            </w:r>
          </w:p>
        </w:tc>
        <w:tc>
          <w:p>
            <w:pPr>
              <w:pStyle w:val="Compact"/>
              <w:jc w:val="center"/>
            </w:pPr>
            <w:r>
              <w:t xml:space="preserve">PacSc</w:t>
            </w:r>
          </w:p>
        </w:tc>
        <w:tc>
          <w:p>
            <w:pPr>
              <w:pStyle w:val="Compact"/>
              <w:jc w:val="center"/>
            </w:pPr>
            <w:r>
              <w:t xml:space="preserve">PacSc</w:t>
            </w:r>
          </w:p>
        </w:tc>
        <w:tc>
          <w:p>
            <w:pPr>
              <w:pStyle w:val="Compact"/>
              <w:jc w:val="center"/>
            </w:pPr>
            <w:r>
              <w:t xml:space="preserve">6</w:t>
            </w:r>
          </w:p>
        </w:tc>
      </w:tr>
      <w:tr>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7</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Guat Barred</w:t>
            </w:r>
          </w:p>
        </w:tc>
        <w:tc>
          <w:p>
            <w:pPr>
              <w:pStyle w:val="Compact"/>
              <w:jc w:val="center"/>
            </w:pPr>
            <w:r>
              <w:t xml:space="preserve">Guat 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8</w:t>
            </w:r>
          </w:p>
        </w:tc>
      </w:tr>
      <w:tr>
        <w:tc>
          <w:p>
            <w:pPr>
              <w:pStyle w:val="Compact"/>
              <w:jc w:val="center"/>
            </w:pPr>
            <w:r>
              <w:t xml:space="preserve">BW</w:t>
            </w:r>
          </w:p>
        </w:tc>
        <w:tc>
          <w:p>
            <w:pPr>
              <w:pStyle w:val="Compact"/>
              <w:jc w:val="center"/>
            </w:pPr>
            <w:r>
              <w:t xml:space="preserve">BW</w:t>
            </w:r>
          </w:p>
        </w:tc>
        <w:tc>
          <w:p>
            <w:pPr>
              <w:pStyle w:val="Compact"/>
              <w:jc w:val="center"/>
            </w:pPr>
            <w:r>
              <w:t xml:space="preserve">Styg</w:t>
            </w:r>
          </w:p>
        </w:tc>
        <w:tc>
          <w:p>
            <w:pPr>
              <w:pStyle w:val="Compact"/>
              <w:jc w:val="center"/>
            </w:pPr>
            <w:r>
              <w:t xml:space="preserve">Styg</w:t>
            </w:r>
          </w:p>
        </w:tc>
        <w:tc>
          <w:p>
            <w:pPr>
              <w:pStyle w:val="Compact"/>
              <w:jc w:val="center"/>
            </w:pPr>
            <w:r>
              <w:t xml:space="preserve">BW</w:t>
            </w:r>
          </w:p>
        </w:tc>
        <w:tc>
          <w:p>
            <w:pPr>
              <w:pStyle w:val="Compact"/>
              <w:jc w:val="center"/>
            </w:pPr>
            <w:r>
              <w:t xml:space="preserve">BW</w:t>
            </w:r>
          </w:p>
        </w:tc>
        <w:tc>
          <w:p>
            <w:pPr>
              <w:pStyle w:val="Compact"/>
              <w:jc w:val="center"/>
            </w:pPr>
            <w:r>
              <w:t xml:space="preserve">9</w:t>
            </w:r>
          </w:p>
        </w:tc>
      </w:tr>
      <w:tr>
        <w:tc>
          <w:p>
            <w:pPr>
              <w:pStyle w:val="Compact"/>
              <w:jc w:val="center"/>
            </w:pPr>
            <w:r>
              <w:t xml:space="preserve">Specd</w:t>
            </w:r>
          </w:p>
        </w:tc>
        <w:tc>
          <w:p>
            <w:pPr>
              <w:pStyle w:val="Compact"/>
              <w:jc w:val="center"/>
            </w:pPr>
            <w:r>
              <w:t xml:space="preserve">Specd</w:t>
            </w:r>
          </w:p>
        </w:tc>
        <w:tc>
          <w:p>
            <w:pPr>
              <w:pStyle w:val="Compact"/>
              <w:jc w:val="center"/>
            </w:pPr>
            <w:r>
              <w:t xml:space="preserve">GrHor</w:t>
            </w:r>
          </w:p>
        </w:tc>
        <w:tc>
          <w:p>
            <w:pPr>
              <w:pStyle w:val="Compact"/>
              <w:jc w:val="center"/>
            </w:pPr>
            <w:r>
              <w:t xml:space="preserve">GrHor</w:t>
            </w:r>
          </w:p>
        </w:tc>
        <w:tc>
          <w:p>
            <w:pPr>
              <w:pStyle w:val="Compact"/>
              <w:jc w:val="center"/>
            </w:pPr>
            <w:r>
              <w:t xml:space="preserve">Specd</w:t>
            </w:r>
          </w:p>
        </w:tc>
        <w:tc>
          <w:p>
            <w:pPr>
              <w:pStyle w:val="Compact"/>
              <w:jc w:val="center"/>
            </w:pPr>
            <w:r>
              <w:t xml:space="preserve">Specd</w:t>
            </w:r>
          </w:p>
        </w:tc>
        <w:tc>
          <w:p>
            <w:pPr>
              <w:pStyle w:val="Compact"/>
              <w:jc w:val="center"/>
            </w:pPr>
            <w:r>
              <w:t xml:space="preserve">10</w:t>
            </w:r>
          </w:p>
        </w:tc>
      </w:tr>
    </w:tbl>
    <w:p>
      <w:pPr>
        <w:pStyle w:val="Heading3"/>
      </w:pPr>
      <w:bookmarkStart w:id="23" w:name="single-species-occupancy-model-implementation"/>
      <w:bookmarkEnd w:id="23"/>
      <w:r>
        <w:t xml:space="preserve">Single-Species Occupancy Model Implementation</w:t>
      </w:r>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occupancy model for three owl species: Mottled, Spectacled, and Ferruginous Pygmy owls. These species had sufficient positive detections to analyze occupancy (Table 1XX). Based on our understanding of owl ecology, we assumed that Spectacled and Ferruginous Pygmy owls would not occupy route M1 in Montecristo, so we removed M1 from those species' occupancy analyses.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4" w:name="richness-model-framework"/>
      <w:bookmarkEnd w:id="24"/>
      <w:r>
        <w:t xml:space="preserve">Richness Model Framework</w:t>
      </w:r>
    </w:p>
    <w:p>
      <w:pPr>
        <w:pStyle w:val="FirstParagraph"/>
      </w:pPr>
      <w:r>
        <w:t xml:space="preserve">To model species richness at each route in each year, we assumed that there were 15 possible species present in El Salvador. This included the 10 species observed during our surveys (including unknown owl species) and an additional 5 species that we never observed during our surveys (Table 1XX). This upper limit to species richness relates directly to the 13 species known to inhabit El Salvador (cite Owls of El Salvador here) plus our unknown species and one species we identified (Stygian owl), which was previously undocumented in El Salvador. We thus augmented our owl detection data with 5 additional potential species with all-zero detection records</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15</m:t>
        </m:r>
      </m:oMath>
      <w:r>
        <w:t xml:space="preserve">),</w:t>
      </w:r>
      <w:r>
        <w:t xml:space="preserve"> </w:t>
      </w:r>
      <m:oMath>
        <m:sSub>
          <m:e>
            <m:r>
              <m:t>w</m:t>
            </m:r>
          </m:e>
          <m:sub>
            <m:r>
              <m:t>h</m:t>
            </m:r>
            <m:r>
              <m:t>,</m:t>
            </m:r>
            <m:r>
              <m:t>s</m:t>
            </m:r>
          </m:sub>
        </m:sSub>
      </m:oMath>
      <w:r>
        <w:t xml:space="preserve"> </w:t>
      </w:r>
      <w:r>
        <w:t xml:space="preserve">was a binary indicator of whether that owl species was present in each route:</w:t>
      </w:r>
    </w:p>
    <w:p>
      <w:pPr>
        <w:pStyle w:val="BodyText"/>
      </w:pPr>
      <m:oMathPara>
        <m:oMathParaPr>
          <m:jc m:val="center"/>
        </m:oMathParaPr>
        <m:oMath>
          <m:sSub>
            <m:e>
              <m:r>
                <m:t>w</m:t>
              </m:r>
            </m:e>
            <m:sub>
              <m:r>
                <m:t>h</m:t>
              </m:r>
              <m:r>
                <m:t>,</m:t>
              </m:r>
              <m:r>
                <m:t>s</m:t>
              </m:r>
            </m:sub>
          </m:sSub>
          <m:r>
            <m:t>∼</m:t>
          </m:r>
          <m:r>
            <m:rP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was the probability of species presence in each route</w:t>
      </w:r>
      <w:r>
        <w:t xml:space="preserve"> </w:t>
      </w:r>
      <m:oMath>
        <m:r>
          <m:t>h</m:t>
        </m:r>
      </m:oMath>
      <w:r>
        <w:t xml:space="preserve"> </w:t>
      </w:r>
      <w:r>
        <w:t xml:space="preserve">(Broms et al. 2016)</w:t>
      </w:r>
      <w:r>
        <w:t xml:space="preserve">. We used prior recommended by</w:t>
      </w:r>
      <w:r>
        <w:t xml:space="preserve"> </w:t>
      </w:r>
      <w:r>
        <w:t xml:space="preserve">Broms et al. (2016)</w:t>
      </w:r>
      <w:r>
        <w:t xml:space="preserve">,</w:t>
      </w:r>
      <w:r>
        <w:t xml:space="preserve"> </w:t>
      </w:r>
      <w:r>
        <w:t xml:space="preserve">Guillera-Arroita et al. (2019)</w:t>
      </w:r>
      <w:r>
        <w:t xml:space="preserve">, and others for</w:t>
      </w:r>
      <w:r>
        <w:t xml:space="preserve"> </w:t>
      </w:r>
      <m:oMath>
        <m:sSub>
          <m:e>
            <m:r>
              <m:t>Ω</m:t>
            </m:r>
          </m:e>
          <m:sub>
            <m:r>
              <m:t>h</m:t>
            </m:r>
          </m:sub>
        </m:sSub>
      </m:oMath>
      <w:r>
        <w:t xml:space="preserve">:</w:t>
      </w:r>
      <w:r>
        <w:t xml:space="preserve"> </w:t>
      </w:r>
      <m:oMath>
        <m:sSub>
          <m:e>
            <m:r>
              <m:t>Ω</m:t>
            </m:r>
          </m:e>
          <m:sub>
            <m:r>
              <m:t>h</m:t>
            </m:r>
          </m:sub>
        </m:sSub>
        <m:r>
          <m:t>∼</m:t>
        </m:r>
        <m:r>
          <m:rPr>
            <m:sty m:val="p"/>
          </m:rPr>
          <m:t>Beta</m:t>
        </m:r>
        <m:r>
          <m:t>(</m:t>
        </m:r>
        <m:r>
          <m:t>0.001</m:t>
        </m:r>
        <m:r>
          <m:t>,</m:t>
        </m:r>
        <m:r>
          <m:t>1</m:t>
        </m:r>
        <m:r>
          <m:t>)</m:t>
        </m:r>
      </m:oMath>
      <w:r>
        <w:t xml:space="preserve">.</w:t>
      </w:r>
    </w:p>
    <w:p>
      <w:pPr>
        <w:pStyle w:val="BodyText"/>
      </w:pPr>
      <w:r>
        <w:t xml:space="preserve">In the richness model, the presence of an owl species in any route, year,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that year (</w:t>
      </w:r>
      <m:oMath>
        <m:sSub>
          <m:e>
            <m:r>
              <m:t>w</m:t>
            </m:r>
          </m:e>
          <m:sub>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sty m:val="p"/>
            </m:rPr>
            <m:t>Bernoulli</m:t>
          </m:r>
          <m:r>
            <m:t>(</m:t>
          </m:r>
          <m:sSub>
            <m:e>
              <m:r>
                <m:t>w</m:t>
              </m:r>
            </m:e>
            <m:sub>
              <m:r>
                <m:t>h</m:t>
              </m:r>
              <m:r>
                <m:t>,</m:t>
              </m:r>
              <m:r>
                <m:t>s</m:t>
              </m:r>
            </m:sub>
          </m:sSub>
          <m:r>
            <m:t>*</m:t>
          </m:r>
          <m:sSub>
            <m:e>
              <m:r>
                <m:t>ψ</m:t>
              </m:r>
            </m:e>
            <m:sub>
              <m:r>
                <m:t>t</m:t>
              </m:r>
              <m:r>
                <m:t>,</m:t>
              </m:r>
              <m:r>
                <m:t>h</m:t>
              </m:r>
              <m:r>
                <m:t>,</m:t>
              </m:r>
              <m:r>
                <m:t>s</m:t>
              </m:r>
            </m:sub>
          </m:sSub>
          <m:r>
            <m:t>)</m:t>
          </m:r>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sty m:val="p"/>
                  </m:rPr>
                  <m:t>logit</m:t>
                </m:r>
                <m:r>
                  <m:t>(</m:t>
                </m:r>
                <m:sSubSup>
                  <m:e>
                    <m:r>
                      <m:t>μ</m:t>
                    </m:r>
                  </m:e>
                  <m:sub>
                    <m:r>
                      <m:t>t</m:t>
                    </m:r>
                    <m:r>
                      <m:t>,</m:t>
                    </m:r>
                    <m:r>
                      <m:t>h</m:t>
                    </m:r>
                  </m:sub>
                  <m:sup>
                    <m:r>
                      <m:t>ψ</m:t>
                    </m:r>
                  </m:sup>
                </m:sSubSup>
                <m:r>
                  <m:t>)</m:t>
                </m:r>
              </m:e>
              <m:e>
                <m:r>
                  <m:t>=</m:t>
                </m:r>
                <m:r>
                  <m:t>∼</m:t>
                </m:r>
                <m:r>
                  <m:t>N</m:t>
                </m:r>
                <m:r>
                  <m:t>(</m:t>
                </m:r>
                <m:r>
                  <m:t>0</m:t>
                </m:r>
                <m:r>
                  <m:t>,</m:t>
                </m:r>
                <m:r>
                  <m:t>2.25</m:t>
                </m:r>
                <m:r>
                  <m:t>)</m:t>
                </m:r>
              </m:e>
            </m:mr>
            <m:mr>
              <m:e>
                <m:r>
                  <m:rPr>
                    <m:sty m:val="p"/>
                  </m:rPr>
                  <m:t>ln</m:t>
                </m:r>
                <m:r>
                  <m:t>(</m:t>
                </m:r>
                <m:sSup>
                  <m:e>
                    <m:r>
                      <m:t>ρ</m:t>
                    </m:r>
                  </m:e>
                  <m:sup>
                    <m:r>
                      <m:t>ψ</m:t>
                    </m:r>
                  </m:sup>
                </m:sSup>
                <m:r>
                  <m:t>)</m:t>
                </m:r>
              </m:e>
              <m:e>
                <m:r>
                  <m:t>∼</m:t>
                </m:r>
                <m:r>
                  <m:t>N</m:t>
                </m:r>
                <m:r>
                  <m:t>(</m:t>
                </m:r>
                <m:r>
                  <m:t>5</m:t>
                </m:r>
                <m:r>
                  <m:t>,</m:t>
                </m:r>
                <m:r>
                  <m:t>1</m:t>
                </m:r>
                <m:r>
                  <m:t>)</m:t>
                </m:r>
                <m:r>
                  <m:rP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Richness of each route was conditional on each species' presence and was estimated as the sum of owl species present in that route:</w:t>
      </w:r>
    </w:p>
    <w:p>
      <w:pPr>
        <w:pStyle w:val="BodyText"/>
      </w:pPr>
      <m:oMathPara>
        <m:oMathParaPr>
          <m:jc m:val="center"/>
        </m:oMathParaPr>
        <m:oMath>
          <m:sSub>
            <m:e>
              <m:r>
                <m:rPr>
                  <m:sty m:val="p"/>
                </m:rPr>
                <m:t>Richness</m:t>
              </m:r>
            </m:e>
            <m:sub>
              <m:r>
                <m:t>h</m:t>
              </m:r>
            </m:sub>
          </m:sSub>
          <m:r>
            <m:t>=</m:t>
          </m:r>
          <m:nary>
            <m:naryPr>
              <m:chr m:val="∑"/>
              <m:limLoc m:val="undOvr"/>
              <m:subHide m:val="0"/>
              <m:supHide m:val="0"/>
            </m:naryPr>
            <m:sub>
              <m:r>
                <m:t>s</m:t>
              </m:r>
              <m:r>
                <m:t>=</m:t>
              </m:r>
              <m:r>
                <m:t>1</m:t>
              </m:r>
            </m:sub>
            <m:sup>
              <m:r>
                <m:t>15</m:t>
              </m:r>
            </m:sup>
            <m:e>
              <m:sSub>
                <m:e>
                  <m:r>
                    <m:t>w</m:t>
                  </m:r>
                </m:e>
                <m:sub>
                  <m:r>
                    <m:t>h</m:t>
                  </m:r>
                  <m:r>
                    <m:t>,</m:t>
                  </m:r>
                  <m:r>
                    <m:t>s</m:t>
                  </m:r>
                </m:sub>
              </m:sSub>
            </m:e>
          </m:nary>
        </m:oMath>
      </m:oMathPara>
    </w:p>
    <w:p>
      <w:pPr>
        <w:pStyle w:val="FirstParagraph"/>
      </w:pPr>
      <w:r>
        <w:t xml:space="preserve">We also estimated year-to-year richness (</w:t>
      </w:r>
      <m:oMath>
        <m:sSubSup>
          <m:e>
            <m:r>
              <m:rPr>
                <m:sty m:val="p"/>
              </m:rPr>
              <m:t>Richness</m:t>
            </m:r>
          </m:e>
          <m:sub>
            <m:r>
              <m:t>t</m:t>
            </m:r>
            <m:r>
              <m:t>,</m:t>
            </m:r>
            <m:r>
              <m:t>h</m:t>
            </m:r>
          </m:sub>
          <m:sup>
            <m:r>
              <m:t>*</m:t>
            </m:r>
          </m:sup>
        </m:sSubSup>
      </m:oMath>
      <w:r>
        <w:t xml:space="preserve">) by route by adding up the number of unique species that were present in each route, year, and survey. We first determined if a species was present in any of that route and year's set of surveys with a species-specific binary indicator</w:t>
      </w:r>
      <w:r>
        <w:t xml:space="preserve"> </w:t>
      </w:r>
      <m:oMath>
        <m:sSub>
          <m:e>
            <m:r>
              <m:t>ϑ</m:t>
            </m:r>
          </m:e>
          <m:sub>
            <m:r>
              <m:t>t</m:t>
            </m:r>
            <m:r>
              <m:t>,</m:t>
            </m:r>
            <m:r>
              <m:t>h</m:t>
            </m:r>
            <m:r>
              <m:t>,</m:t>
            </m:r>
            <m:r>
              <m:t>s</m:t>
            </m:r>
          </m:sub>
        </m:sSub>
      </m:oMath>
      <w:r>
        <w:t xml:space="preserve">. Then, we summed up the number of species present in each year and route:</w:t>
      </w:r>
    </w:p>
    <w:p>
      <w:pPr>
        <w:pStyle w:val="BodyText"/>
      </w:pPr>
      <m:oMathPara>
        <m:oMathParaPr>
          <m:jc m:val="center"/>
        </m:oMathParaPr>
        <m:oMath>
          <m:sSubSup>
            <m:e>
              <m:r>
                <m:rPr>
                  <m:sty m:val="p"/>
                </m:rPr>
                <m:t>Richness</m:t>
              </m:r>
            </m:e>
            <m:sub>
              <m:r>
                <m:t>t</m:t>
              </m:r>
              <m:r>
                <m:t>,</m:t>
              </m:r>
              <m:r>
                <m:t>h</m:t>
              </m:r>
            </m:sub>
            <m:sup>
              <m:r>
                <m:t>*</m:t>
              </m:r>
            </m:sup>
          </m:sSubSup>
          <m:r>
            <m:t>=</m:t>
          </m:r>
          <m:nary>
            <m:naryPr>
              <m:chr m:val="∑"/>
              <m:limLoc m:val="undOvr"/>
              <m:subHide m:val="0"/>
              <m:supHide m:val="0"/>
            </m:naryPr>
            <m:sub>
              <m:r>
                <m:t>s</m:t>
              </m:r>
              <m:r>
                <m:t>=</m:t>
              </m:r>
              <m:r>
                <m:t>1</m:t>
              </m:r>
            </m:sub>
            <m:sup>
              <m:r>
                <m:t>15</m:t>
              </m:r>
            </m:sup>
            <m:e>
              <m:sSub>
                <m:e>
                  <m:r>
                    <m:t>ϑ</m:t>
                  </m:r>
                </m:e>
                <m:sub>
                  <m:r>
                    <m:t>t</m:t>
                  </m:r>
                  <m:r>
                    <m:t>,</m:t>
                  </m:r>
                  <m:r>
                    <m:t>h</m:t>
                  </m:r>
                  <m:r>
                    <m:t>,</m:t>
                  </m:r>
                  <m:r>
                    <m:t>s</m:t>
                  </m:r>
                </m:sub>
              </m:sSub>
            </m:e>
          </m:nary>
        </m:oMath>
      </m:oMathPara>
    </w:p>
    <w:p>
      <w:pPr>
        <w:pStyle w:val="FirstParagraph"/>
      </w:pPr>
      <w:r>
        <w:t xml:space="preserve">Consistent with our approach for the occupancy models, we assumed that detecting an owl depended on an individual of that species being present during that survey (</w:t>
      </w:r>
      <m:oMath>
        <m:sSub>
          <m:e>
            <m:r>
              <m:t>z</m:t>
            </m:r>
          </m:e>
          <m:sub>
            <m:r>
              <m:t>t</m:t>
            </m:r>
            <m:r>
              <m:t>,</m:t>
            </m:r>
            <m:r>
              <m:t>h</m:t>
            </m:r>
            <m:r>
              <m:t>,</m:t>
            </m:r>
            <m:r>
              <m:t>i</m:t>
            </m:r>
            <m:r>
              <m:t>,</m:t>
            </m:r>
            <m:r>
              <m:t>s</m:t>
            </m:r>
          </m:sub>
        </m:sSub>
        <m:r>
          <m:t>=</m:t>
        </m:r>
        <m:r>
          <m:t>1</m:t>
        </m:r>
      </m:oMath>
      <w:r>
        <w:t xml:space="preserve">) and the species-specific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call:</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call</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 species from those that were detected.</w:t>
      </w:r>
    </w:p>
    <w:p>
      <w:pPr>
        <w:pStyle w:val="Heading3"/>
      </w:pPr>
      <w:bookmarkStart w:id="25" w:name="richness-model-implementation"/>
      <w:bookmarkEnd w:id="25"/>
      <w:r>
        <w:t xml:space="preserve">Richness Model Implementation</w:t>
      </w:r>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richness model. We ran 3 chains for 20,000 iterations with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 was detected in that survey and otherwise zero. Similarly, initial values for whether a species belonged to a route's community (</w:t>
      </w:r>
      <m:oMath>
        <m:sSub>
          <m:e>
            <m:r>
              <m:t>w</m:t>
            </m:r>
          </m:e>
          <m:sub>
            <m:r>
              <m:t>h</m:t>
            </m:r>
            <m:r>
              <m:t>,</m:t>
            </m:r>
            <m:r>
              <m:t>s</m:t>
            </m:r>
          </m:sub>
        </m:sSub>
      </m:oMath>
      <w:r>
        <w:t xml:space="preserve">) were equivalent to one if that species of owl was detected in that route and otherwise zero. We visually inspected traceplots to verify that chains mixed well (Supplemental information S4xx).</w:t>
      </w:r>
    </w:p>
    <w:p>
      <w:pPr>
        <w:pStyle w:val="Heading1"/>
      </w:pPr>
      <w:bookmarkStart w:id="26" w:name="results"/>
      <w:bookmarkEnd w:id="26"/>
      <w:r>
        <w:t xml:space="preserve">Results</w:t>
      </w:r>
    </w:p>
    <w:p>
      <w:pPr>
        <w:pStyle w:val="Heading2"/>
      </w:pPr>
      <w:bookmarkStart w:id="27" w:name="single-species-occupancy-model-results"/>
      <w:bookmarkEnd w:id="27"/>
      <w:r>
        <w:t xml:space="preserve">Single-Species Occupancy Model Results</w:t>
      </w:r>
    </w:p>
    <w:p>
      <w:pPr>
        <w:pStyle w:val="FirstParagraph"/>
      </w:pPr>
      <w:r>
        <w:t xml:space="preserve">Mottled, Spectacled, and Ferruginous Pygmy owls had 542, 137, and 187 positive detections over the 11 year period, respectively (Table 1XX). No other owl species had enough detections to analyze species-specific occupancy (Table 1XX). Averaged across years, we found that the probability of occupancy was somewhat higher for Mottled owls than for Ferruginous Pygmy or Spectacled owls in both routes of El Imposible and in M2 route of Montecristo (Fig. 1X). The probability of occupancy across all three species and both routes of Nancuchiname were relatively high (Fig. 1XX). We found that the probability of occupancy for Mottled owls was relatively consistent across time in El Imposible and in N2 route (Fig. 2XX), but that it seemed to increase in the last ~6 years of the surveys in M2 and N1 routes (Fig. 2XX). The probability of occupancy in M1 seemed to have decreased through time for Mottled owls (Fig. 2XX).</w:t>
      </w:r>
    </w:p>
    <w:p>
      <w:pPr>
        <w:pStyle w:val="BodyText"/>
      </w:pPr>
      <w:r>
        <w:t xml:space="preserve">For routes EI1, EI2, and M2, the probability of occupancy for Ferruginous Pygmy and Spectacled stayed relatively low across time other than a higher probability of occupancy for Ferruginous Pygmy in EI1 in the early years of the surveys (Figs. 3XX and 4XX). The probability of occupancy for Ferruginous Pygmy owls was relatively high in both routes of Nancuchaname except in 2008 and 2009 (Fig. 3XX), and the probability of occupancy for the Spectacled owl slightly fluctuated year to year in the Nancuchaname routes (Fig. 4XX).</w:t>
      </w:r>
    </w:p>
    <w:p>
      <w:pPr>
        <w:pStyle w:val="Heading2"/>
      </w:pPr>
      <w:bookmarkStart w:id="28" w:name="richness-model-results"/>
      <w:bookmarkEnd w:id="28"/>
      <w:r>
        <w:t xml:space="preserve">Richness Model Results</w:t>
      </w:r>
    </w:p>
    <w:p>
      <w:pPr>
        <w:pStyle w:val="FirstParagraph"/>
      </w:pPr>
      <w:r>
        <w:t xml:space="preserve">Our estimates of each route's community richness (Richness</w:t>
      </w:r>
      <m:oMath>
        <m:sSub>
          <m:e>
            <m:r>
              <m:t/>
            </m:r>
          </m:e>
          <m:sub>
            <m:r>
              <m:t>h</m:t>
            </m:r>
          </m:sub>
        </m:sSub>
      </m:oMath>
      <w:r>
        <w:t xml:space="preserve">) and 90% credible intervals were 4 (4,4), 5 (4,5), 3 (3,4), 4 (4,5), 5 (5,5), and 5 (5,5) for EI1, EI2, M1, M2, N1, and N2, respectively. These were equivalent to the number of species detected in each route (Table 1XX), indicating that the probability of occupancy for undetected species was low and no additional species were predicted to be present in a route's community, other than those deteced.</w:t>
      </w:r>
    </w:p>
    <w:p>
      <w:pPr>
        <w:pStyle w:val="BodyText"/>
      </w:pPr>
      <w:r>
        <w:t xml:space="preserve">When analyzed by year, median species richness (Richness</w:t>
      </w:r>
      <m:oMath>
        <m:sSubSup>
          <m:e>
            <m:r>
              <m:t/>
            </m:r>
          </m:e>
          <m:sub>
            <m:r>
              <m:t>t</m:t>
            </m:r>
            <m:r>
              <m:t>,</m:t>
            </m:r>
            <m:r>
              <m:t>h</m:t>
            </m:r>
          </m:sub>
          <m:sup>
            <m:r>
              <m:t>*</m:t>
            </m:r>
          </m:sup>
        </m:sSubSup>
      </m:oMath>
      <w:r>
        <w:t xml:space="preserve">) varied from 0 to 4, depending on route and year (Fig. 5XXX). At most, the median species richness was one species higher than the number of species detected at any single route and year; however, the 90% credible intervals of richness added up to 3 new undetected species 2004 in M2 (Fig. 5XXX). .</w:t>
      </w:r>
    </w:p>
    <w:p>
      <w:pPr>
        <w:pStyle w:val="Heading2"/>
      </w:pPr>
      <w:bookmarkStart w:id="29" w:name="detection-results"/>
      <w:bookmarkEnd w:id="29"/>
      <w:r>
        <w:t xml:space="preserve">Detection Results</w:t>
      </w:r>
    </w:p>
    <w:p>
      <w:pPr>
        <w:pStyle w:val="FirstParagraph"/>
      </w:pPr>
      <w:r>
        <w:t xml:space="preserve">Including all detected species into one richness model increased the precision of the estimates of the effect of broadcast calls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analyzed with single-species occupancy models varied little during the timeframe before broadcast recordings were played (Pre-broadcast); however, the probability of detecting owls after broadcast calls were played varied by broadcast call and between Mottled, Ferruginous Pygmy, and Spectacled owls (Fig. 6XX). The probability of detecting Mottled Owls increased after broadcasting Mottled, Pacific, Crested, Black and White, or Spectacled owl calls. The probability of detecting Ferruginous Pygmy owls increased after broadcasting Mottled and Pacific owl calls, and the probability of detecting Spectacled owls increased after broadcasting Pacific, Black and White, and Spectacled owl calls (Fig. 6XX).</w:t>
      </w:r>
    </w:p>
    <w:p>
      <w:pPr>
        <w:pStyle w:val="Heading1"/>
      </w:pPr>
      <w:bookmarkStart w:id="30" w:name="figures"/>
      <w:bookmarkEnd w:id="30"/>
      <w:r>
        <w:t xml:space="preserve">Figures</w:t>
      </w:r>
    </w:p>
    <w:p>
      <w:pPr>
        <w:pStyle w:val="FigureWithCaption"/>
      </w:pPr>
      <w:r>
        <w:drawing>
          <wp:inline>
            <wp:extent cx="5334000" cy="5334000"/>
            <wp:effectExtent b="0" l="0" r="0" t="0"/>
            <wp:docPr descr="1XX. Probability of occupancy (\psi_{t,h}) averaged by route for Mottled, Ferruginous Pygmy, and Spectacled Owl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si_mean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Ferruginous Pygmy,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2XX. Probability of occupancy by route and year for Mott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3XX. Probability of occupancy by route and year for Ferruginous Pygmy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by route and year for Ferruginous Pygmy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4XX. Probability of occupancy by route and year for Spectac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5XX. Species richnes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5XX. Species richness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FigureWithCaption"/>
      </w:pPr>
      <w:r>
        <w:drawing>
          <wp:inline>
            <wp:extent cx="5334000" cy="7620000"/>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_detection-1.png" id="0" name="Picture"/>
                    <pic:cNvPicPr>
                      <a:picLocks noChangeArrowheads="1" noChangeAspect="1"/>
                    </pic:cNvPicPr>
                  </pic:nvPicPr>
                  <pic:blipFill>
                    <a:blip r:embed="rId36"/>
                    <a:stretch>
                      <a:fillRect/>
                    </a:stretch>
                  </pic:blipFill>
                  <pic:spPr bwMode="auto">
                    <a:xfrm>
                      <a:off x="0" y="0"/>
                      <a:ext cx="5334000" cy="7620000"/>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7" w:name="references"/>
      <w:bookmarkEnd w:id="37"/>
      <w:r>
        <w:t xml:space="preserve">References</w:t>
      </w:r>
    </w:p>
    <w:p>
      <w:pPr>
        <w:pStyle w:val="Bibliography"/>
      </w:pPr>
      <w:r>
        <w:t xml:space="preserve">Baumgardt, J. A., M. L. Morrison, L. A. Brennan, and T. A. Campbell. 2019. Effects of broadcasting calls on detection probability in occupancy analyses of multiple raptor species. Western North American Naturalist 79:185–194.</w:t>
      </w:r>
    </w:p>
    <w:p>
      <w:pPr>
        <w:pStyle w:val="Bibliography"/>
      </w:pPr>
      <w:r>
        <w:t xml:space="preserve">Broms, K. M., M. B. Hooten, and R. M. Fitzpatrick. 2016. Model selection and assessment for multi-species occupancy models. Ecology 97:1759–1770.</w:t>
      </w:r>
    </w:p>
    <w:p>
      <w:pPr>
        <w:pStyle w:val="Bibliography"/>
      </w:pPr>
      <w:r>
        <w:t xml:space="preserve">Gelman, A., A. Jakulin, M. G. Pittau, and Y.-S. Su. 2008. A weakly informative default prior distribution for logistic and other regression models. The Annals of Applied Statistics 2:1360–1383.</w:t>
      </w:r>
    </w:p>
    <w:p>
      <w:pPr>
        <w:pStyle w:val="Bibliography"/>
      </w:pPr>
      <w:r>
        <w:t xml:space="preserve">Guillera-Arroita, G., M. Kéry, and J. J. Lohoz-Monfort. 2019. Inferring species richness using multispecies occupancy modeling: Estimation performance and interpretation. Ecology and Evolution 9:780–792.</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p>
      <w:pPr>
        <w:pStyle w:val="Bibliography"/>
      </w:pPr>
      <w:r>
        <w:t xml:space="preserve">Royle, J. A. 2007. Analysis of multinomial models with unknown index using data augmentation. Journal of Computational and Graphical Statistics 16:67–85.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dd22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owls methods</dc:title>
  <dc:creator>Althea Archer</dc:creator>
  <dcterms:created xsi:type="dcterms:W3CDTF">2020-11-20T01:51:17Z</dcterms:created>
  <dcterms:modified xsi:type="dcterms:W3CDTF">2020-11-20T01:51:17Z</dcterms:modified>
</cp:coreProperties>
</file>