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36.png" ContentType="image/png"/>
  <Override PartName="/word/media/rId31.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11/17/2020</w:t>
      </w:r>
    </w:p>
    <w:p>
      <w:pPr>
        <w:pStyle w:val="Heading1"/>
      </w:pPr>
      <w:bookmarkStart w:id="21" w:name="methods"/>
      <w:bookmarkEnd w:id="21"/>
      <w:r>
        <w:t xml:space="preserve">Methods</w:t>
      </w:r>
    </w:p>
    <w:p>
      <w:pPr>
        <w:pStyle w:val="FirstParagraph"/>
      </w:pPr>
      <w:r>
        <w:rPr>
          <w:i/>
        </w:rPr>
        <w:t xml:space="preserve">Table 1XX. Species detection records by route. Owl surveys were conducted from 2003 to 2013 in three different protected areas within El Salvador, although specific survey years varied by route.</w:t>
      </w:r>
    </w:p>
    <w:tbl>
      <w:tblPr>
        <w:tblStyle w:val="TableNormal"/>
        <w:tblW w:type="pct" w:w="4861.111111111111"/>
        <w:tblLook w:firstRow="1"/>
      </w:tblPr>
      <w:tblGrid>
        <w:gridCol w:w="1760"/>
        <w:gridCol w:w="2420"/>
        <w:gridCol w:w="660"/>
        <w:gridCol w:w="660"/>
        <w:gridCol w:w="550"/>
        <w:gridCol w:w="550"/>
        <w:gridCol w:w="550"/>
        <w:gridCol w:w="5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Common</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rPr>
                <w:b/>
              </w:rPr>
              <w:t xml:space="preserve">Mottd</w:t>
            </w:r>
          </w:p>
        </w:tc>
        <w:tc>
          <w:p>
            <w:pPr>
              <w:pStyle w:val="Compact"/>
              <w:jc w:val="center"/>
            </w:pPr>
            <w:r>
              <w:t xml:space="preserve">Mottled</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rPr>
                <w:b/>
              </w:rPr>
              <w:t xml:space="preserve">FerPy</w:t>
            </w:r>
          </w:p>
        </w:tc>
        <w:tc>
          <w:p>
            <w:pPr>
              <w:pStyle w:val="Compact"/>
              <w:jc w:val="center"/>
            </w:pPr>
            <w:r>
              <w:t xml:space="preserve">Ferruginous Pygmy</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rPr>
                <w:b/>
              </w:rPr>
              <w:t xml:space="preserve">Specd</w:t>
            </w:r>
          </w:p>
        </w:tc>
        <w:tc>
          <w:p>
            <w:pPr>
              <w:pStyle w:val="Compact"/>
              <w:jc w:val="center"/>
            </w:pPr>
            <w:r>
              <w:t xml:space="preserve">Spectacled</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rPr>
                <w:b/>
              </w:rPr>
              <w:t xml:space="preserve">PacSc</w:t>
            </w:r>
          </w:p>
        </w:tc>
        <w:tc>
          <w:p>
            <w:pPr>
              <w:pStyle w:val="Compact"/>
              <w:jc w:val="center"/>
            </w:pPr>
            <w:r>
              <w:t xml:space="preserve">Pacific Screech</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rPr>
                <w:b/>
              </w:rPr>
              <w:t xml:space="preserve">Barn</w:t>
            </w:r>
          </w:p>
        </w:tc>
        <w:tc>
          <w:p>
            <w:pPr>
              <w:pStyle w:val="Compact"/>
              <w:jc w:val="center"/>
            </w:pPr>
            <w:r>
              <w:t xml:space="preserve">Barn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rPr>
                <w:b/>
              </w:rPr>
              <w:t xml:space="preserve">Styg</w:t>
            </w:r>
          </w:p>
        </w:tc>
        <w:tc>
          <w:p>
            <w:pPr>
              <w:pStyle w:val="Compact"/>
              <w:jc w:val="center"/>
            </w:pPr>
            <w:r>
              <w:t xml:space="preserve">Stygian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Whisk</w:t>
            </w:r>
          </w:p>
        </w:tc>
        <w:tc>
          <w:p>
            <w:pPr>
              <w:pStyle w:val="Compact"/>
              <w:jc w:val="center"/>
            </w:pPr>
            <w:r>
              <w:t xml:space="preserve">Whiskered Screech</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GrHor</w:t>
            </w:r>
          </w:p>
        </w:tc>
        <w:tc>
          <w:p>
            <w:pPr>
              <w:pStyle w:val="Compact"/>
              <w:jc w:val="center"/>
            </w:pPr>
            <w:r>
              <w:t xml:space="preserve">Great Horned</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Fulvous</w:t>
            </w:r>
          </w:p>
        </w:tc>
        <w:tc>
          <w:p>
            <w:pPr>
              <w:pStyle w:val="Compact"/>
              <w:jc w:val="center"/>
            </w:pPr>
            <w:r>
              <w:t xml:space="preserve">Fulvous</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Crested</w:t>
            </w:r>
          </w:p>
        </w:tc>
        <w:tc>
          <w:p>
            <w:pPr>
              <w:pStyle w:val="Compact"/>
              <w:jc w:val="center"/>
            </w:pPr>
            <w:r>
              <w:t xml:space="preserve">Lophostrix cristata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Burrowing</w:t>
            </w:r>
          </w:p>
        </w:tc>
        <w:tc>
          <w:p>
            <w:pPr>
              <w:pStyle w:val="Compact"/>
              <w:jc w:val="center"/>
            </w:pPr>
            <w:r>
              <w:t xml:space="preserve">Burrowing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BW</w:t>
            </w:r>
          </w:p>
        </w:tc>
        <w:tc>
          <w:p>
            <w:pPr>
              <w:pStyle w:val="Compact"/>
              <w:jc w:val="center"/>
            </w:pPr>
            <w:r>
              <w:t xml:space="preserve">Black-and-white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Striped</w:t>
            </w:r>
          </w:p>
        </w:tc>
        <w:tc>
          <w:p>
            <w:pPr>
              <w:pStyle w:val="Compact"/>
              <w:jc w:val="center"/>
            </w:pPr>
            <w:r>
              <w:t xml:space="preserve">Striped</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Saw-whet</w:t>
            </w:r>
          </w:p>
        </w:tc>
        <w:tc>
          <w:p>
            <w:pPr>
              <w:pStyle w:val="Compact"/>
              <w:jc w:val="center"/>
            </w:pPr>
            <w:r>
              <w:t xml:space="preserve">Unspotted Saw-whet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Unk</w:t>
            </w:r>
          </w:p>
        </w:tc>
        <w:tc>
          <w:p>
            <w:pPr>
              <w:pStyle w:val="Compact"/>
              <w:jc w:val="center"/>
            </w:pPr>
            <w:r>
              <w:t xml:space="preserve">Unknown</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Heading2"/>
      </w:pPr>
      <w:bookmarkStart w:id="22" w:name="single-species-occupancy-model-framework"/>
      <w:bookmarkEnd w:id="22"/>
      <w:r>
        <w:t xml:space="preserve">Single-Species Occupancy Model Framework</w:t>
      </w:r>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by that owl species would not change between surveys within a year but that the probability of occupancy would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 each survey was conducted (here </m:t>
                </m:r>
                <m:r>
                  <m:t>t</m:t>
                </m:r>
                <m:r>
                  <m:t>=</m:t>
                </m:r>
                <m:r>
                  <m:t>1</m:t>
                </m:r>
                <m:r>
                  <m:t>,</m:t>
                </m:r>
                <m:r>
                  <m:t>2</m:t>
                </m:r>
                <m:r>
                  <m:t>,</m:t>
                </m:r>
                <m:r>
                  <m:t>…</m:t>
                </m:r>
                <m:r>
                  <m:t>,</m:t>
                </m:r>
                <m:r>
                  <m:t>11</m:t>
                </m:r>
                <m:r>
                  <m:t>)</m:t>
                </m:r>
                <m:r>
                  <m:rPr>
                    <m:sty m:val="p"/>
                  </m:rPr>
                  <m:t> corresponding with 2003-2013</m:t>
                </m:r>
              </m:e>
            </m:mr>
            <m:mr>
              <m:e>
                <m:r>
                  <m:t>h</m:t>
                </m:r>
              </m:e>
              <m:e>
                <m:r>
                  <m:t>=</m:t>
                </m:r>
                <m:r>
                  <m:rPr>
                    <m:sty m:val="p"/>
                  </m:rPr>
                  <m:t>the individual route (here </m:t>
                </m:r>
                <m:r>
                  <m:t>h</m:t>
                </m:r>
                <m:r>
                  <m:t>=</m:t>
                </m:r>
                <m:r>
                  <m:t>1</m:t>
                </m:r>
                <m:r>
                  <m:t>,</m:t>
                </m:r>
                <m:r>
                  <m:t>2</m:t>
                </m:r>
                <m:r>
                  <m:t>,</m:t>
                </m:r>
                <m:r>
                  <m:t>…</m:t>
                </m:r>
                <m:r>
                  <m:t>,</m:t>
                </m:r>
                <m:r>
                  <m:t>6</m:t>
                </m:r>
                <m:r>
                  <m:t>)</m:t>
                </m:r>
                <m:r>
                  <m:rPr>
                    <m:sty m:val="p"/>
                  </m:rPr>
                  <m:t> corresponding with EI1, EI2, M1, M2, N1, N2</m:t>
                </m:r>
              </m:e>
            </m:mr>
            <m:mr>
              <m:e>
                <m:r>
                  <m:t>i</m:t>
                </m:r>
              </m:e>
              <m:e>
                <m:r>
                  <m:t>=</m:t>
                </m:r>
                <m:r>
                  <m:rPr>
                    <m:sty m:val="p"/>
                  </m:rPr>
                  <m:t>the individual surveys conducted in each year and route (here </m:t>
                </m:r>
                <m:r>
                  <m:t>i</m:t>
                </m:r>
                <m:r>
                  <m:t>=</m:t>
                </m:r>
                <m:r>
                  <m:t>1</m:t>
                </m:r>
                <m:r>
                  <m:t>,</m:t>
                </m:r>
                <m:r>
                  <m:t>2</m:t>
                </m:r>
                <m:r>
                  <m:t>,</m:t>
                </m:r>
                <m:r>
                  <m:t>3</m:t>
                </m:r>
                <m:r>
                  <m:t>)</m:t>
                </m:r>
              </m:e>
            </m:mr>
            <m:mr>
              <m:e>
                <m:r>
                  <m:t>j</m:t>
                </m:r>
              </m:e>
              <m:e>
                <m:r>
                  <m:t>=</m:t>
                </m:r>
                <m:r>
                  <m:rPr>
                    <m:sty m:val="p"/>
                  </m:rPr>
                  <m:t>the individual stations along each route (here </m:t>
                </m:r>
                <m:r>
                  <m:t>j</m:t>
                </m:r>
                <m:r>
                  <m:t>=</m:t>
                </m:r>
                <m:r>
                  <m:t>1</m:t>
                </m:r>
                <m:r>
                  <m:t>,</m:t>
                </m:r>
                <m:r>
                  <m:t>2</m:t>
                </m:r>
                <m:r>
                  <m:t>,</m:t>
                </m:r>
                <m:r>
                  <m:t>…</m:t>
                </m:r>
                <m:r>
                  <m:t>,</m:t>
                </m:r>
                <m:r>
                  <m:t>10</m:t>
                </m:r>
                <m:r>
                  <m:t>)</m:t>
                </m:r>
              </m:e>
            </m:mr>
            <m:mr>
              <m:e>
                <m:r>
                  <m:t>k</m:t>
                </m:r>
              </m:e>
              <m:e>
                <m:r>
                  <m:t>=</m:t>
                </m:r>
                <m:r>
                  <m:rPr>
                    <m:sty m:val="p"/>
                  </m:rPr>
                  <m:t>the broadcast call species (here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sty m:val="p"/>
                  </m:rPr>
                  <m:t>logit</m:t>
                </m:r>
                <m:r>
                  <m:t>(</m:t>
                </m:r>
                <m:sSubSup>
                  <m:e>
                    <m:r>
                      <m:t>μ</m:t>
                    </m:r>
                  </m:e>
                  <m:sub>
                    <m:r>
                      <m:t>t</m:t>
                    </m:r>
                    <m:r>
                      <m:t>,</m:t>
                    </m:r>
                    <m:r>
                      <m:t>h</m:t>
                    </m:r>
                  </m:sub>
                  <m:sup>
                    <m:r>
                      <m:t>ψ</m:t>
                    </m:r>
                  </m:sup>
                </m:sSubSup>
                <m:r>
                  <m:t>)</m:t>
                </m:r>
              </m:e>
              <m:e>
                <m:r>
                  <m:t>∼</m:t>
                </m:r>
                <m:r>
                  <m:rPr>
                    <m:sty m:val="p"/>
                  </m:rPr>
                  <m:t>N</m:t>
                </m:r>
                <m:r>
                  <m:t>(</m:t>
                </m:r>
                <m:r>
                  <m:t>0</m:t>
                </m:r>
                <m:r>
                  <m:t>,</m:t>
                </m:r>
                <m:r>
                  <m:t>2.25</m:t>
                </m:r>
                <m:r>
                  <m:t>)</m:t>
                </m:r>
              </m:e>
            </m:mr>
            <m:mr>
              <m:e>
                <m:r>
                  <m:rPr>
                    <m:sty m:val="p"/>
                  </m:rPr>
                  <m:t>ln</m:t>
                </m:r>
                <m:r>
                  <m:t>(</m:t>
                </m:r>
                <m:sSubSup>
                  <m:e>
                    <m:r>
                      <m:t>ρ</m:t>
                    </m:r>
                  </m:e>
                  <m:sub>
                    <m:r>
                      <m:t>t</m:t>
                    </m:r>
                    <m:r>
                      <m:t>,</m:t>
                    </m:r>
                    <m:r>
                      <m:t>h</m:t>
                    </m:r>
                  </m:sub>
                  <m:sup>
                    <m:r>
                      <m:t>ψ</m:t>
                    </m:r>
                  </m:sup>
                </m:sSubSup>
                <m:r>
                  <m:t>)</m:t>
                </m:r>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provides a consistent probability of detection for all surveys in the first two minutes of each observation period, before the broadcast call was played (</w:t>
      </w:r>
      <m:oMath>
        <m:r>
          <m:t>k</m:t>
        </m:r>
        <m:r>
          <m:t>=</m:t>
        </m:r>
        <m:r>
          <m:rP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calls varied between routes, but were consistent at each route and station across years (Table 2XX). Thus, the effective sample sizes of the different broadcast calls varied.</w:t>
      </w:r>
    </w:p>
    <w:p>
      <w:pPr>
        <w:pStyle w:val="BodyText"/>
      </w:pPr>
      <w:r>
        <w:rPr>
          <w:i/>
        </w:rPr>
        <w:t xml:space="preserve">Table 2XX. Broadcast calls by route and station. Owl surveys were conducted from 2003 to 2013 in three different protected areas within El Salvador. Pre-recorded owl calls were broadcast after 2 minutes of silent listening.</w:t>
      </w:r>
    </w:p>
    <w:tbl>
      <w:tblPr>
        <w:tblStyle w:val="TableNormal"/>
        <w:tblW w:type="pct" w:w="5000.0"/>
        <w:tblLook w:firstRow="1"/>
      </w:tblPr>
      <w:tblGrid>
        <w:gridCol w:w="1015"/>
        <w:gridCol w:w="1015"/>
        <w:gridCol w:w="1421"/>
        <w:gridCol w:w="1421"/>
        <w:gridCol w:w="1015"/>
        <w:gridCol w:w="1015"/>
        <w:gridCol w:w="1015"/>
      </w:tblGrid>
      <w:tr>
        <w:trPr>
          <w:cnfStyle w:firstRow="1"/>
        </w:trPr>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Station</w:t>
            </w:r>
          </w:p>
        </w:tc>
      </w:tr>
      <w:tr>
        <w:tc>
          <w:p>
            <w:pPr>
              <w:pStyle w:val="Compact"/>
              <w:jc w:val="center"/>
            </w:pPr>
            <w:r>
              <w:t xml:space="preserve">PacSc</w:t>
            </w:r>
          </w:p>
        </w:tc>
        <w:tc>
          <w:p>
            <w:pPr>
              <w:pStyle w:val="Compact"/>
              <w:jc w:val="center"/>
            </w:pPr>
            <w:r>
              <w:t xml:space="preserve">PacSc</w:t>
            </w:r>
          </w:p>
        </w:tc>
        <w:tc>
          <w:p>
            <w:pPr>
              <w:pStyle w:val="Compact"/>
              <w:jc w:val="center"/>
            </w:pPr>
            <w:r>
              <w:t xml:space="preserve">Whisk</w:t>
            </w:r>
          </w:p>
        </w:tc>
        <w:tc>
          <w:p>
            <w:pPr>
              <w:pStyle w:val="Compact"/>
              <w:jc w:val="center"/>
            </w:pPr>
            <w:r>
              <w:t xml:space="preserve">Whisk</w:t>
            </w:r>
          </w:p>
        </w:tc>
        <w:tc>
          <w:p>
            <w:pPr>
              <w:pStyle w:val="Compact"/>
              <w:jc w:val="center"/>
            </w:pPr>
            <w:r>
              <w:t xml:space="preserve">PacSc</w:t>
            </w:r>
          </w:p>
        </w:tc>
        <w:tc>
          <w:p>
            <w:pPr>
              <w:pStyle w:val="Compact"/>
              <w:jc w:val="center"/>
            </w:pPr>
            <w:r>
              <w:t xml:space="preserve">PacSc</w:t>
            </w:r>
          </w:p>
        </w:tc>
        <w:tc>
          <w:p>
            <w:pPr>
              <w:pStyle w:val="Compact"/>
              <w:jc w:val="center"/>
            </w:pPr>
            <w:r>
              <w:t xml:space="preserve">1</w:t>
            </w:r>
          </w:p>
        </w:tc>
      </w:tr>
      <w:tr>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2</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Guat Barred</w:t>
            </w:r>
          </w:p>
        </w:tc>
        <w:tc>
          <w:p>
            <w:pPr>
              <w:pStyle w:val="Compact"/>
              <w:jc w:val="center"/>
            </w:pPr>
            <w:r>
              <w:t xml:space="preserve">Guat 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3</w:t>
            </w:r>
          </w:p>
        </w:tc>
      </w:tr>
      <w:tr>
        <w:tc>
          <w:p>
            <w:pPr>
              <w:pStyle w:val="Compact"/>
              <w:jc w:val="center"/>
            </w:pPr>
            <w:r>
              <w:t xml:space="preserve">BW</w:t>
            </w:r>
          </w:p>
        </w:tc>
        <w:tc>
          <w:p>
            <w:pPr>
              <w:pStyle w:val="Compact"/>
              <w:jc w:val="center"/>
            </w:pPr>
            <w:r>
              <w:t xml:space="preserve">BW</w:t>
            </w:r>
          </w:p>
        </w:tc>
        <w:tc>
          <w:p>
            <w:pPr>
              <w:pStyle w:val="Compact"/>
              <w:jc w:val="center"/>
            </w:pPr>
            <w:r>
              <w:t xml:space="preserve">Styg</w:t>
            </w:r>
          </w:p>
        </w:tc>
        <w:tc>
          <w:p>
            <w:pPr>
              <w:pStyle w:val="Compact"/>
              <w:jc w:val="center"/>
            </w:pPr>
            <w:r>
              <w:t xml:space="preserve">Styg</w:t>
            </w:r>
          </w:p>
        </w:tc>
        <w:tc>
          <w:p>
            <w:pPr>
              <w:pStyle w:val="Compact"/>
              <w:jc w:val="center"/>
            </w:pPr>
            <w:r>
              <w:t xml:space="preserve">BW</w:t>
            </w:r>
          </w:p>
        </w:tc>
        <w:tc>
          <w:p>
            <w:pPr>
              <w:pStyle w:val="Compact"/>
              <w:jc w:val="center"/>
            </w:pPr>
            <w:r>
              <w:t xml:space="preserve">BW</w:t>
            </w:r>
          </w:p>
        </w:tc>
        <w:tc>
          <w:p>
            <w:pPr>
              <w:pStyle w:val="Compact"/>
              <w:jc w:val="center"/>
            </w:pPr>
            <w:r>
              <w:t xml:space="preserve">4</w:t>
            </w:r>
          </w:p>
        </w:tc>
      </w:tr>
      <w:tr>
        <w:tc>
          <w:p>
            <w:pPr>
              <w:pStyle w:val="Compact"/>
              <w:jc w:val="center"/>
            </w:pPr>
            <w:r>
              <w:t xml:space="preserve">Specd</w:t>
            </w:r>
          </w:p>
        </w:tc>
        <w:tc>
          <w:p>
            <w:pPr>
              <w:pStyle w:val="Compact"/>
              <w:jc w:val="center"/>
            </w:pPr>
            <w:r>
              <w:t xml:space="preserve">Specd</w:t>
            </w:r>
          </w:p>
        </w:tc>
        <w:tc>
          <w:p>
            <w:pPr>
              <w:pStyle w:val="Compact"/>
              <w:jc w:val="center"/>
            </w:pPr>
            <w:r>
              <w:t xml:space="preserve">GrHor</w:t>
            </w:r>
          </w:p>
        </w:tc>
        <w:tc>
          <w:p>
            <w:pPr>
              <w:pStyle w:val="Compact"/>
              <w:jc w:val="center"/>
            </w:pPr>
            <w:r>
              <w:t xml:space="preserve">GrHor</w:t>
            </w:r>
          </w:p>
        </w:tc>
        <w:tc>
          <w:p>
            <w:pPr>
              <w:pStyle w:val="Compact"/>
              <w:jc w:val="center"/>
            </w:pPr>
            <w:r>
              <w:t xml:space="preserve">Specd</w:t>
            </w:r>
          </w:p>
        </w:tc>
        <w:tc>
          <w:p>
            <w:pPr>
              <w:pStyle w:val="Compact"/>
              <w:jc w:val="center"/>
            </w:pPr>
            <w:r>
              <w:t xml:space="preserve">Specd</w:t>
            </w:r>
          </w:p>
        </w:tc>
        <w:tc>
          <w:p>
            <w:pPr>
              <w:pStyle w:val="Compact"/>
              <w:jc w:val="center"/>
            </w:pPr>
            <w:r>
              <w:t xml:space="preserve">5</w:t>
            </w:r>
          </w:p>
        </w:tc>
      </w:tr>
      <w:tr>
        <w:tc>
          <w:p>
            <w:pPr>
              <w:pStyle w:val="Compact"/>
              <w:jc w:val="center"/>
            </w:pPr>
            <w:r>
              <w:t xml:space="preserve">PacSc</w:t>
            </w:r>
          </w:p>
        </w:tc>
        <w:tc>
          <w:p>
            <w:pPr>
              <w:pStyle w:val="Compact"/>
              <w:jc w:val="center"/>
            </w:pPr>
            <w:r>
              <w:t xml:space="preserve">PacSc</w:t>
            </w:r>
          </w:p>
        </w:tc>
        <w:tc>
          <w:p>
            <w:pPr>
              <w:pStyle w:val="Compact"/>
              <w:jc w:val="center"/>
            </w:pPr>
            <w:r>
              <w:t xml:space="preserve">Whisk</w:t>
            </w:r>
          </w:p>
        </w:tc>
        <w:tc>
          <w:p>
            <w:pPr>
              <w:pStyle w:val="Compact"/>
              <w:jc w:val="center"/>
            </w:pPr>
            <w:r>
              <w:t xml:space="preserve">Whisk</w:t>
            </w:r>
          </w:p>
        </w:tc>
        <w:tc>
          <w:p>
            <w:pPr>
              <w:pStyle w:val="Compact"/>
              <w:jc w:val="center"/>
            </w:pPr>
            <w:r>
              <w:t xml:space="preserve">PacSc</w:t>
            </w:r>
          </w:p>
        </w:tc>
        <w:tc>
          <w:p>
            <w:pPr>
              <w:pStyle w:val="Compact"/>
              <w:jc w:val="center"/>
            </w:pPr>
            <w:r>
              <w:t xml:space="preserve">PacSc</w:t>
            </w:r>
          </w:p>
        </w:tc>
        <w:tc>
          <w:p>
            <w:pPr>
              <w:pStyle w:val="Compact"/>
              <w:jc w:val="center"/>
            </w:pPr>
            <w:r>
              <w:t xml:space="preserve">6</w:t>
            </w:r>
          </w:p>
        </w:tc>
      </w:tr>
      <w:tr>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7</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Guat Barred</w:t>
            </w:r>
          </w:p>
        </w:tc>
        <w:tc>
          <w:p>
            <w:pPr>
              <w:pStyle w:val="Compact"/>
              <w:jc w:val="center"/>
            </w:pPr>
            <w:r>
              <w:t xml:space="preserve">Guat 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8</w:t>
            </w:r>
          </w:p>
        </w:tc>
      </w:tr>
      <w:tr>
        <w:tc>
          <w:p>
            <w:pPr>
              <w:pStyle w:val="Compact"/>
              <w:jc w:val="center"/>
            </w:pPr>
            <w:r>
              <w:t xml:space="preserve">BW</w:t>
            </w:r>
          </w:p>
        </w:tc>
        <w:tc>
          <w:p>
            <w:pPr>
              <w:pStyle w:val="Compact"/>
              <w:jc w:val="center"/>
            </w:pPr>
            <w:r>
              <w:t xml:space="preserve">BW</w:t>
            </w:r>
          </w:p>
        </w:tc>
        <w:tc>
          <w:p>
            <w:pPr>
              <w:pStyle w:val="Compact"/>
              <w:jc w:val="center"/>
            </w:pPr>
            <w:r>
              <w:t xml:space="preserve">Styg</w:t>
            </w:r>
          </w:p>
        </w:tc>
        <w:tc>
          <w:p>
            <w:pPr>
              <w:pStyle w:val="Compact"/>
              <w:jc w:val="center"/>
            </w:pPr>
            <w:r>
              <w:t xml:space="preserve">Styg</w:t>
            </w:r>
          </w:p>
        </w:tc>
        <w:tc>
          <w:p>
            <w:pPr>
              <w:pStyle w:val="Compact"/>
              <w:jc w:val="center"/>
            </w:pPr>
            <w:r>
              <w:t xml:space="preserve">BW</w:t>
            </w:r>
          </w:p>
        </w:tc>
        <w:tc>
          <w:p>
            <w:pPr>
              <w:pStyle w:val="Compact"/>
              <w:jc w:val="center"/>
            </w:pPr>
            <w:r>
              <w:t xml:space="preserve">BW</w:t>
            </w:r>
          </w:p>
        </w:tc>
        <w:tc>
          <w:p>
            <w:pPr>
              <w:pStyle w:val="Compact"/>
              <w:jc w:val="center"/>
            </w:pPr>
            <w:r>
              <w:t xml:space="preserve">9</w:t>
            </w:r>
          </w:p>
        </w:tc>
      </w:tr>
      <w:tr>
        <w:tc>
          <w:p>
            <w:pPr>
              <w:pStyle w:val="Compact"/>
              <w:jc w:val="center"/>
            </w:pPr>
            <w:r>
              <w:t xml:space="preserve">Specd</w:t>
            </w:r>
          </w:p>
        </w:tc>
        <w:tc>
          <w:p>
            <w:pPr>
              <w:pStyle w:val="Compact"/>
              <w:jc w:val="center"/>
            </w:pPr>
            <w:r>
              <w:t xml:space="preserve">Specd</w:t>
            </w:r>
          </w:p>
        </w:tc>
        <w:tc>
          <w:p>
            <w:pPr>
              <w:pStyle w:val="Compact"/>
              <w:jc w:val="center"/>
            </w:pPr>
            <w:r>
              <w:t xml:space="preserve">GrHor</w:t>
            </w:r>
          </w:p>
        </w:tc>
        <w:tc>
          <w:p>
            <w:pPr>
              <w:pStyle w:val="Compact"/>
              <w:jc w:val="center"/>
            </w:pPr>
            <w:r>
              <w:t xml:space="preserve">GrHor</w:t>
            </w:r>
          </w:p>
        </w:tc>
        <w:tc>
          <w:p>
            <w:pPr>
              <w:pStyle w:val="Compact"/>
              <w:jc w:val="center"/>
            </w:pPr>
            <w:r>
              <w:t xml:space="preserve">Specd</w:t>
            </w:r>
          </w:p>
        </w:tc>
        <w:tc>
          <w:p>
            <w:pPr>
              <w:pStyle w:val="Compact"/>
              <w:jc w:val="center"/>
            </w:pPr>
            <w:r>
              <w:t xml:space="preserve">Specd</w:t>
            </w:r>
          </w:p>
        </w:tc>
        <w:tc>
          <w:p>
            <w:pPr>
              <w:pStyle w:val="Compact"/>
              <w:jc w:val="center"/>
            </w:pPr>
            <w:r>
              <w:t xml:space="preserve">10</w:t>
            </w:r>
          </w:p>
        </w:tc>
      </w:tr>
    </w:tbl>
    <w:p>
      <w:pPr>
        <w:pStyle w:val="Heading3"/>
      </w:pPr>
      <w:bookmarkStart w:id="23" w:name="single-species-occupancy-model-implementation"/>
      <w:bookmarkEnd w:id="23"/>
      <w:r>
        <w:t xml:space="preserve">Single-Species Occupancy Model Implementation</w:t>
      </w:r>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occupancy model for three owl species: Mottled, Spectacled, and Ferruginous Pygmy owls. These species had sufficient positive detections to analyze occupancy (Table 1XX). Based on our understanding of owl ecology, we assumed that Spectacled and Ferruginous Pygmy owls would not occupy route M1 in Montecristo, so we removed M1 from those species' occupancy analyses.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4" w:name="richness-model-framework"/>
      <w:bookmarkEnd w:id="24"/>
      <w:r>
        <w:t xml:space="preserve">Richness Model Framework</w:t>
      </w:r>
    </w:p>
    <w:p>
      <w:pPr>
        <w:pStyle w:val="FirstParagraph"/>
      </w:pPr>
      <w:r>
        <w:t xml:space="preserve">To model species richness at each route in each year, we assumed that there were 15 possible species present in El Salvador. This included the 10 species observed during our surveys (including unknown owl species) and an additional 5 species that we never observed during our surveys (Table 1XX). This upper limit to species richness relates directly to the 13 species known to inhabit El Salvador (cite Owls of El Salvador here) plus our unknown species and one species we identified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t</m:t>
            </m:r>
            <m:r>
              <m:t>,</m:t>
            </m:r>
            <m:r>
              <m:t>h</m:t>
            </m:r>
            <m:r>
              <m:t>,</m:t>
            </m:r>
            <m:r>
              <m:t>s</m:t>
            </m:r>
          </m:sub>
        </m:sSub>
      </m:oMath>
      <w:r>
        <w:t xml:space="preserve"> </w:t>
      </w:r>
      <w:r>
        <w:t xml:space="preserve">was a binary indicator of whether that owl species was present in each route and year:</w:t>
      </w:r>
    </w:p>
    <w:p>
      <w:pPr>
        <w:pStyle w:val="BodyText"/>
      </w:pPr>
      <m:oMathPara>
        <m:oMathParaPr>
          <m:jc m:val="center"/>
        </m:oMathParaPr>
        <m:oMath>
          <m:sSub>
            <m:e>
              <m:r>
                <m:t>w</m:t>
              </m:r>
            </m:e>
            <m:sub>
              <m:r>
                <m:t>t</m:t>
              </m:r>
              <m:r>
                <m:t>,</m:t>
              </m:r>
              <m:r>
                <m:t>h</m:t>
              </m:r>
              <m:r>
                <m:t>,</m:t>
              </m:r>
              <m:r>
                <m:t>s</m:t>
              </m:r>
            </m:sub>
          </m:sSub>
          <m:r>
            <m:t>∼</m:t>
          </m:r>
          <m:r>
            <m:rP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was the probability of species presence in each route</w:t>
      </w:r>
      <w:r>
        <w:t xml:space="preserve"> </w:t>
      </w:r>
      <m:oMath>
        <m:r>
          <m:t>h</m:t>
        </m:r>
      </m:oMath>
      <w:r>
        <w:t xml:space="preserve"> </w:t>
      </w:r>
      <w:r>
        <w:t xml:space="preserve">(Broms et al. 2016)</w:t>
      </w:r>
      <w:r>
        <w:t xml:space="preserve">. We used prior recommended by</w:t>
      </w:r>
      <w:r>
        <w:t xml:space="preserve"> </w:t>
      </w:r>
      <w:r>
        <w:t xml:space="preserve">Broms et al. (2016)</w:t>
      </w:r>
      <w:r>
        <w:t xml:space="preserve">,</w:t>
      </w:r>
      <w:r>
        <w:t xml:space="preserve"> </w:t>
      </w:r>
      <w:r>
        <w:t xml:space="preserve">Guillera-Arroita et al. (2019)</w:t>
      </w:r>
      <w:r>
        <w:t xml:space="preserve">, and others for</w:t>
      </w:r>
      <w:r>
        <w:t xml:space="preserve"> </w:t>
      </w:r>
      <m:oMath>
        <m:sSub>
          <m:e>
            <m:r>
              <m:t>Ω</m:t>
            </m:r>
          </m:e>
          <m:sub>
            <m:r>
              <m:t>h</m:t>
            </m:r>
          </m:sub>
        </m:sSub>
      </m:oMath>
      <w:r>
        <w:t xml:space="preserve">:</w:t>
      </w:r>
      <w:r>
        <w:t xml:space="preserve"> </w:t>
      </w:r>
      <m:oMath>
        <m:sSub>
          <m:e>
            <m:r>
              <m:t>Ω</m:t>
            </m:r>
          </m:e>
          <m:sub>
            <m:r>
              <m:t>h</m:t>
            </m:r>
          </m:sub>
        </m:sSub>
        <m:r>
          <m:t>∼</m:t>
        </m:r>
        <m:r>
          <m:rPr>
            <m:sty m:val="p"/>
          </m:rPr>
          <m:t>Beta</m:t>
        </m:r>
        <m:r>
          <m:t>(</m:t>
        </m:r>
        <m:r>
          <m:t>0.001</m:t>
        </m:r>
        <m:r>
          <m:t>,</m:t>
        </m:r>
        <m:r>
          <m:t>1</m:t>
        </m:r>
        <m:r>
          <m:t>)</m:t>
        </m:r>
      </m:oMath>
      <w:r>
        <w:t xml:space="preserve">.</w:t>
      </w:r>
    </w:p>
    <w:p>
      <w:pPr>
        <w:pStyle w:val="BodyText"/>
      </w:pPr>
      <w:r>
        <w:t xml:space="preserve">In the richness model, the presence of an owl species in any route, year,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t</m:t>
            </m:r>
            <m:r>
              <m:t>,</m:t>
            </m:r>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sty m:val="p"/>
            </m:rPr>
            <m:t>Bernoulli</m:t>
          </m:r>
          <m:r>
            <m:t>(</m:t>
          </m:r>
          <m:sSub>
            <m:e>
              <m:r>
                <m:t>w</m:t>
              </m:r>
            </m:e>
            <m:sub>
              <m:r>
                <m:t>t</m:t>
              </m:r>
              <m:r>
                <m:t>,</m:t>
              </m:r>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sty m:val="p"/>
                  </m:rPr>
                  <m:t>logit</m:t>
                </m:r>
                <m:r>
                  <m:t>(</m:t>
                </m:r>
                <m:sSubSup>
                  <m:e>
                    <m:r>
                      <m:t>μ</m:t>
                    </m:r>
                  </m:e>
                  <m:sub>
                    <m:r>
                      <m:t>t</m:t>
                    </m:r>
                    <m:r>
                      <m:t>,</m:t>
                    </m:r>
                    <m:r>
                      <m:t>h</m:t>
                    </m:r>
                  </m:sub>
                  <m:sup>
                    <m:r>
                      <m:t>ψ</m:t>
                    </m:r>
                  </m:sup>
                </m:sSubSup>
                <m:r>
                  <m:t>)</m:t>
                </m:r>
              </m:e>
              <m:e>
                <m:r>
                  <m:t>=</m:t>
                </m:r>
                <m:r>
                  <m:t>∼</m:t>
                </m:r>
                <m:r>
                  <m:t>N</m:t>
                </m:r>
                <m:r>
                  <m:t>(</m:t>
                </m:r>
                <m:r>
                  <m:t>0</m:t>
                </m:r>
                <m:r>
                  <m:t>,</m:t>
                </m:r>
                <m:r>
                  <m:t>2.25</m:t>
                </m:r>
                <m:r>
                  <m:t>)</m:t>
                </m:r>
              </m:e>
            </m:mr>
            <m:mr>
              <m:e>
                <m:r>
                  <m:rPr>
                    <m:sty m:val="p"/>
                  </m:rPr>
                  <m:t>ln</m:t>
                </m:r>
                <m:r>
                  <m:t>(</m:t>
                </m:r>
                <m:sSup>
                  <m:e>
                    <m:r>
                      <m:t>ρ</m:t>
                    </m:r>
                  </m:e>
                  <m:sup>
                    <m:r>
                      <m:t>ψ</m:t>
                    </m:r>
                  </m:sup>
                </m:sSup>
                <m:r>
                  <m:t>)</m:t>
                </m:r>
              </m:e>
              <m:e>
                <m:r>
                  <m:t>∼</m:t>
                </m:r>
                <m:r>
                  <m:t>N</m:t>
                </m:r>
                <m:r>
                  <m:t>(</m:t>
                </m:r>
                <m:r>
                  <m:t>5</m:t>
                </m:r>
                <m:r>
                  <m:t>,</m:t>
                </m:r>
                <m:r>
                  <m:t>1</m:t>
                </m:r>
                <m:r>
                  <m:t>)</m:t>
                </m:r>
                <m:r>
                  <m:rP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was conditional on each species' presence and was estimated as the sum of owl species present in each route and year:</w:t>
      </w:r>
    </w:p>
    <w:p>
      <w:pPr>
        <w:pStyle w:val="BodyText"/>
      </w:pPr>
      <m:oMathPara>
        <m:oMathParaPr>
          <m:jc m:val="center"/>
        </m:oMathParaPr>
        <m:oMath>
          <m:sSub>
            <m:e>
              <m:r>
                <m:rPr>
                  <m:sty m:val="p"/>
                </m:rPr>
                <m:t>Richness</m:t>
              </m:r>
            </m:e>
            <m:sub>
              <m:r>
                <m:t>t</m:t>
              </m:r>
              <m:r>
                <m:t>,</m:t>
              </m:r>
              <m:r>
                <m:t>h</m:t>
              </m:r>
            </m:sub>
          </m:sSub>
          <m:r>
            <m:t>=</m:t>
          </m:r>
          <m:nary>
            <m:naryPr>
              <m:chr m:val="∑"/>
              <m:limLoc m:val="undOvr"/>
              <m:subHide m:val="0"/>
              <m:supHide m:val="0"/>
            </m:naryPr>
            <m:sub>
              <m:r>
                <m:t>s</m:t>
              </m:r>
              <m:r>
                <m:t>=</m:t>
              </m:r>
              <m:r>
                <m:t>1</m:t>
              </m:r>
            </m:sub>
            <m:sup>
              <m:r>
                <m:t>14</m:t>
              </m:r>
            </m:sup>
            <m:e>
              <m:sSub>
                <m:e>
                  <m:r>
                    <m:t>w</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5" w:name="richness-model-implementation"/>
      <w:bookmarkEnd w:id="25"/>
      <w:r>
        <w:t xml:space="preserve">Richness Model Implementation</w:t>
      </w:r>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t</m:t>
            </m:r>
            <m:r>
              <m:t>,</m:t>
            </m:r>
            <m:r>
              <m:t>h</m:t>
            </m:r>
            <m:r>
              <m:t>,</m:t>
            </m:r>
            <m:r>
              <m:t>s</m:t>
            </m:r>
          </m:sub>
        </m:sSub>
      </m:oMath>
      <w:r>
        <w:t xml:space="preserve">) were equivalent to one if that species of owl was detected in that route and year and otherwise zero. We visually inspected traceplots to verify that chains mixed well (Supplemental information S4xx).</w:t>
      </w:r>
    </w:p>
    <w:p>
      <w:pPr>
        <w:pStyle w:val="Heading1"/>
      </w:pPr>
      <w:bookmarkStart w:id="26" w:name="results"/>
      <w:bookmarkEnd w:id="26"/>
      <w:r>
        <w:t xml:space="preserve">Results</w:t>
      </w:r>
    </w:p>
    <w:p>
      <w:pPr>
        <w:pStyle w:val="Heading2"/>
      </w:pPr>
      <w:bookmarkStart w:id="27" w:name="single-species-occupancy-model-results"/>
      <w:bookmarkEnd w:id="27"/>
      <w:r>
        <w:t xml:space="preserve">Single-Species Occupancy Model Results</w:t>
      </w:r>
    </w:p>
    <w:p>
      <w:pPr>
        <w:pStyle w:val="FirstParagraph"/>
      </w:pPr>
      <w:r>
        <w:t xml:space="preserve">Mottled, Spectacled, and Ferruginous Pygmy owls had 542, 137, and 187 positive detections over the 11 year period, respectively (Table 1XX). No other owl species had enough detections to analyze species-specific occupancy (Table 1XX). Averaged across years, we found that the probability of occupancy was somewhat higher for Mottled owls than for Ferruginous Pygmy or Spectacled owls in both routes of El Imposible and in M2 route of Montecristo (Fig. 1X). The probability of occupancy across all three species and both routes of Nancuchiname were relatively high (Fig. 1XX). We found that the probability of occupancy for Mottled owls was relatively consistent across time in El Imposible and in N2 route (Fig. 2XX), but that it seemed to increase in the last ~6 years of the surveys in M2 and N1 routes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slightly fluctuated year to year in the Nancuchaname routes (Fig. 4XX).</w:t>
      </w:r>
    </w:p>
    <w:p>
      <w:pPr>
        <w:pStyle w:val="Heading2"/>
      </w:pPr>
      <w:bookmarkStart w:id="28" w:name="richness-model-results"/>
      <w:bookmarkEnd w:id="28"/>
      <w:r>
        <w:t xml:space="preserve">Richness Model Results</w:t>
      </w:r>
    </w:p>
    <w:p>
      <w:pPr>
        <w:pStyle w:val="FirstParagraph"/>
      </w:pPr>
      <w:r>
        <w:t xml:space="preserve">Median species richness varied from 1 to 5, depending on route and year (Fig. 5XXX). At most, the median species richness was one species higher than the number of species detected at any single route and year; however, the 90% credible intervals of richness added up to 4 new undetected species in several years of EI1 surveys and two years of M2 surveys (Fig. 5XXX). The shared information through random effects by route tended to smooth out the year-to-year variation in predicted richness, which in a few instances meant that the median predicted richness was less than the number of observed species in that route and year (Fig. 5XXX)</w:t>
      </w:r>
    </w:p>
    <w:p>
      <w:pPr>
        <w:pStyle w:val="Heading2"/>
      </w:pPr>
      <w:bookmarkStart w:id="29" w:name="detection-results"/>
      <w:bookmarkEnd w:id="29"/>
      <w:r>
        <w:t xml:space="preserve">Detection Results</w:t>
      </w:r>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broadcast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0" w:name="figures"/>
      <w:bookmarkEnd w:id="30"/>
      <w:r>
        <w:t xml:space="preserve">Figures</w:t>
      </w:r>
    </w:p>
    <w:p>
      <w:pPr>
        <w:pStyle w:val="FigureWithCaption"/>
      </w:pPr>
      <w:r>
        <w:drawing>
          <wp:inline>
            <wp:extent cx="5334000" cy="5334000"/>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by route and year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by route and year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5XX. Specie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5XX. Species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FigureWithCaption"/>
      </w:pPr>
      <w:r>
        <w:drawing>
          <wp:inline>
            <wp:extent cx="5334000" cy="7620000"/>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6"/>
                    <a:stretch>
                      <a:fillRect/>
                    </a:stretch>
                  </pic:blipFill>
                  <pic:spPr bwMode="auto">
                    <a:xfrm>
                      <a:off x="0" y="0"/>
                      <a:ext cx="5334000" cy="7620000"/>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7" w:name="references"/>
      <w:bookmarkEnd w:id="37"/>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Broms, K. M., M. B. Hooten, and R. M. Fitzpatrick. 2016. Model selection and assessment for multi-species occupancy models. Ecology 97:1759–1770.</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Guillera-Arroita, G., M. Kéry, and J. J. Lohoz-Monfort. 2019. Inferring species richness using multispecies occupancy modeling: Estimation performance and interpretation. Ecology and Evolution 9:780–792.</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p>
      <w:pPr>
        <w:pStyle w:val="Bibliography"/>
      </w:pPr>
      <w:r>
        <w:t xml:space="preserve">Royle, J. A. 2007. Analysis of multinomial models with unknown index using data augmentation. Journal of Computational and Graphical Statistics 16:67–85.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354b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2020-11-20T00:36:58Z</dcterms:created>
  <dcterms:modified xsi:type="dcterms:W3CDTF">2020-11-20T00:36:58Z</dcterms:modified>
</cp:coreProperties>
</file>