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1/11/2021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as a keystone species, are an important, yet cryptic, bioindicator of ecosystem health. Top predators also often have long-lasting and wide-ranging effects through trophic cascades. The various spotted owl sub-species (</w:t>
      </w:r>
      <w:r>
        <w:rPr>
          <w:i/>
        </w:rPr>
        <w:t xml:space="preserve">Strix occidentalis</w:t>
      </w:r>
      <w:r>
        <w:t xml:space="preserve">) of North America have long been studied as an indicator species for the interactions between anthropogenic and environmental forces, demonstrating that even various sub-species of spotted owl have complex and contrasting behavior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such as the spotted owls of North America,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more difficult than in temperate regions, although there are more species living in the same habitat</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of plumage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and forsman not cited on doc from Jane xxx</w:t>
      </w:r>
      <w:r>
        <w:t xml:space="preserve"> </w:t>
      </w:r>
      <w:r>
        <w:t xml:space="preserve">Owls vocalize to communicate with the same species and to delimit territory</w:t>
      </w:r>
      <w:r>
        <w:t xml:space="preserve"> </w:t>
      </w:r>
      <w:r>
        <w:t xml:space="preserve">(Johnsgard 1988)</w:t>
      </w:r>
      <w:r>
        <w:t xml:space="preserve">. Spontaneous and provocation listening are two methods for auditory surveys that have been used with increasing frequency in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(including both spontaneous and broadcast) is being able to identify multiple species simultaneously. Adding in provocation to auditory surveys can increase the detection probability of owls, although the intra- and interspecific responses to broadcast calls could play a role in response patterns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species community composition. El Salvador is located in the heart of the Mesoamerican Biodiversity Hotspot</w:t>
      </w:r>
      <w:r>
        <w:t xml:space="preserve"> </w:t>
      </w:r>
      <w:r>
        <w:t xml:space="preserve">(Myers and Mittermeier 2000)</w:t>
      </w:r>
      <w:r>
        <w:t xml:space="preserve">. We surveyed owls on foot using passive listening and broadcast vocalizations in two transects each within the three largest protected areas of El Salvador from 2003 through 2013.</w:t>
      </w:r>
    </w:p>
    <w:p>
      <w:pPr>
        <w:pStyle w:val="BodyText"/>
      </w:pPr>
      <w:r>
        <w:t xml:space="preserve">This project was carried out during the breeding season (March-May) for three weeks each year over a 10-year period in the three previously mentioned protected natural areas. These areas were selected to represent different ecosystems found in the country and the transect routes were selected to represent the habitats in the protected natural areas.</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(approximately 6.5 million) Central American country with 13.6% of its land forested</w:t>
      </w:r>
      <w:r>
        <w:t xml:space="preserve"> </w:t>
      </w:r>
      <w:r>
        <w:t xml:space="preserve">(Central Intelligence Agency 2020)</w:t>
      </w:r>
      <w:r>
        <w:t xml:space="preserve">. It is bordered by the Pacific Ocean, Guatemala and Honduras (Fig. 1XXX). This project includes three protected natural areas located at different elevations (high, mid and low elevations) and in different types of forest vegetation (alluvial, deciduous, semi-deciduous, pine-oak and cloud forest) that are representative of several of the country’s protected natural areas (Table 1XXX).</w:t>
      </w:r>
    </w:p>
    <w:p>
      <w:pPr>
        <w:pStyle w:val="BodyText"/>
      </w:pPr>
      <w:r>
        <w:t xml:space="preserve">El Imposible National Park (NP) is located 119 km southwest of San Salvador (Fig. 1XXX, Table 1XXX). Its elevation ranges from 250 to 1425 m above sea level. It is the largest NP in the country, covering 3792 ha. The topography is extremely steep and broken, with many cliffs</w:t>
      </w:r>
      <w:r>
        <w:t xml:space="preserve"> </w:t>
      </w:r>
      <w:r>
        <w:t xml:space="preserve">(Álvarez and Komar 2003)</w:t>
      </w:r>
      <w:r>
        <w:t xml:space="preserve">. The area contains deciduous and semi-deciduous forest, secondary growth vegetation on the edges and former pasture areas that were reforested with native species in 1997. In the western portion of this NP, one survey transect (EI-1) was set up in the lower elevation deciduous in an area of reforestation and the other (EI-2) was located in semi-deciduous forest.</w:t>
      </w:r>
    </w:p>
    <w:p>
      <w:pPr>
        <w:pStyle w:val="BodyText"/>
      </w:pPr>
      <w:r>
        <w:t xml:space="preserve">Montecristo NP is located 125 km northwest of San Salvador (Fig. 1XXX; Table 1XXX). Its altitude ranges from 730 to 2418 m above sea level and covers 1973 ha</w:t>
      </w:r>
      <w:r>
        <w:t xml:space="preserve"> </w:t>
      </w:r>
      <w:r>
        <w:t xml:space="preserve">(Ministerio de Medio Ambiente y Recursos Naturales 2010)</w:t>
      </w:r>
      <w:r>
        <w:t xml:space="preserve">. The higher elevations contain cloud forest, middle elevations contain pine/oak forest (with some pine and cypress plantations) and the lower elevations contain a semi-deciduous tropical forest</w:t>
      </w:r>
      <w:r>
        <w:t xml:space="preserve"> </w:t>
      </w:r>
      <w:r>
        <w:t xml:space="preserve">(Ministerio de Medio Ambiente y Recursos Naturales 2015a)</w:t>
      </w:r>
      <w:r>
        <w:t xml:space="preserve">. This NP is part of the Montecristo Tri-national Protected Area which includes extensive adjoining natural areas in Guatemala and Honduras</w:t>
      </w:r>
      <w:r>
        <w:t xml:space="preserve"> </w:t>
      </w:r>
      <w:r>
        <w:t xml:space="preserve">(Komar 2010)</w:t>
      </w:r>
      <w:r>
        <w:t xml:space="preserve">. In this NP, one transect (M-1) was set up in a cloud forest and another (M-2) was located at a lower elevation in a pine/oak forest.</w:t>
      </w:r>
    </w:p>
    <w:p>
      <w:pPr>
        <w:pStyle w:val="BodyText"/>
      </w:pPr>
      <w:r>
        <w:t xml:space="preserve">Nancuchiname Forest, a Protected Natural Area, is located 95 km southeast of San Salvador in the coastal alluvial plain along the Lempa River (Fig. 1XXX). Its elevation ranges from 5 to 12 m above sea level and covers 797 ha. Nancuchiname Forest represents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contains deciduous and semi-deciduous forest, second growth vegetation, native species reforestation and a dike. In Nancuchiname Forest, one survey transect (N-1) was set up in alluvial forest along a dike surrounded by second growth vegetation and another (N-2) in a semi-deciduous alluvial forest.</w:t>
      </w:r>
    </w:p>
    <w:p>
      <w:pPr>
        <w:pStyle w:val="BodyText"/>
      </w:pPr>
      <w:r>
        <w:rPr>
          <w:i/>
        </w:rPr>
        <w:t xml:space="preserve">Table 1XX. Route locations and habitats.</w:t>
      </w:r>
    </w:p>
    <w:p>
      <w:pPr>
        <w:pStyle w:val="TableCaption"/>
      </w:pPr>
      <w:r>
        <w:t xml:space="preserve">Table continues below</w:t>
      </w:r>
    </w:p>
    <w:tbl>
      <w:tblPr>
        <w:tblStyle w:val="Table"/>
        <w:tblW w:type="pct" w:w="4027.7777777777774"/>
        <w:tblLook w:firstRow="1"/>
        <w:tblCaption w:val="Table continues below"/>
      </w:tblPr>
      <w:tblGrid>
        <w:gridCol w:w="1650"/>
        <w:gridCol w:w="880"/>
        <w:gridCol w:w="1210"/>
        <w:gridCol w:w="1320"/>
        <w:gridCol w:w="1320"/>
      </w:tblGrid>
      <w:tr>
        <w:trPr>
          <w:cnfStyle w:firstRow="1"/>
        </w:trPr>
        <w:tc>
          <w:tcPr>
            <w:tcBorders>
              <w:bottom w:val="single"/>
            </w:tcBorders>
            <w:vAlign w:val="bottom"/>
          </w:tcPr>
          <w:p>
            <w:pPr>
              <w:pStyle w:val="Compact"/>
              <w:jc w:val="center"/>
            </w:pPr>
            <w:r>
              <w:t xml:space="preserve">Area</w:t>
            </w:r>
          </w:p>
        </w:tc>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r>
      <w:tr>
        <w:tc>
          <w:p>
            <w:pPr>
              <w:pStyle w:val="Compact"/>
              <w:jc w:val="center"/>
            </w:pPr>
            <w:r>
              <w:t xml:space="preserve">El Imposible</w:t>
            </w:r>
          </w:p>
        </w:tc>
        <w:tc>
          <w:p>
            <w:pPr>
              <w:pStyle w:val="Compact"/>
              <w:jc w:val="center"/>
            </w:pPr>
            <w:r>
              <w:t xml:space="preserve">EI-1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r>
      <w:tr>
        <w:tc>
          <w:p>
            <w:pPr>
              <w:pStyle w:val="Compact"/>
              <w:jc w:val="center"/>
            </w:pPr>
            <w:r>
              <w:t xml:space="preserve">NP</w:t>
            </w:r>
          </w:p>
        </w:tc>
        <w:tc>
          <w:p>
            <w:pPr>
              <w:pStyle w:val="Compact"/>
              <w:jc w:val="center"/>
            </w:pPr>
            <w:r>
              <w:t xml:space="preserve">EI-2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r>
      <w:tr>
        <w:tc>
          <w:p>
            <w:pPr>
              <w:pStyle w:val="Compact"/>
              <w:jc w:val="center"/>
            </w:pPr>
            <w:r>
              <w:t xml:space="preserve">Montecristo</w:t>
            </w:r>
          </w:p>
        </w:tc>
        <w:tc>
          <w:p>
            <w:pPr>
              <w:pStyle w:val="Compact"/>
              <w:jc w:val="center"/>
            </w:pPr>
            <w:r>
              <w:t xml:space="preserve">M-1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r>
      <w:tr>
        <w:tc>
          <w:p>
            <w:pPr>
              <w:pStyle w:val="Compact"/>
              <w:jc w:val="center"/>
            </w:pPr>
            <w:r>
              <w:t xml:space="preserve">NP</w:t>
            </w:r>
          </w:p>
        </w:tc>
        <w:tc>
          <w:p>
            <w:pPr>
              <w:pStyle w:val="Compact"/>
              <w:jc w:val="center"/>
            </w:pPr>
            <w:r>
              <w:t xml:space="preserve">M-2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r>
      <w:tr>
        <w:tc>
          <w:p>
            <w:pPr>
              <w:pStyle w:val="Compact"/>
              <w:jc w:val="center"/>
            </w:pPr>
            <w:r>
              <w:t xml:space="preserve">Nancuchiname</w:t>
            </w:r>
          </w:p>
        </w:tc>
        <w:tc>
          <w:p>
            <w:pPr>
              <w:pStyle w:val="Compact"/>
              <w:jc w:val="center"/>
            </w:pPr>
            <w:r>
              <w:t xml:space="preserve">N-1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r>
      <w:tr>
        <w:tc>
          <w:p>
            <w:pPr>
              <w:pStyle w:val="Compact"/>
              <w:jc w:val="center"/>
            </w:pPr>
            <w:r>
              <w:t xml:space="preserve">Forest</w:t>
            </w:r>
          </w:p>
        </w:tc>
        <w:tc>
          <w:p>
            <w:pPr>
              <w:pStyle w:val="Compact"/>
              <w:jc w:val="center"/>
            </w:pPr>
            <w:r>
              <w:t xml:space="preserve">N-2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r>
    </w:tbl>
    <w:tbl>
      <w:tblPr>
        <w:tblStyle w:val="Table"/>
        <w:tblW w:type="pct" w:w="2291.6666666666665"/>
        <w:tblLook w:firstRow="1"/>
      </w:tblPr>
      <w:tblGrid>
        <w:gridCol w:w="3630"/>
      </w:tblGrid>
      <w:tr>
        <w:trPr>
          <w:cnfStyle w:firstRow="1"/>
        </w:trPr>
        <w:tc>
          <w:tcPr>
            <w:tcBorders>
              <w:bottom w:val="single"/>
            </w:tcBorders>
            <w:vAlign w:val="bottom"/>
          </w:tcPr>
          <w:p>
            <w:pPr>
              <w:pStyle w:val="Compact"/>
              <w:jc w:val="center"/>
            </w:pPr>
            <w:r>
              <w:t xml:space="preserve">Habitat</w:t>
            </w:r>
          </w:p>
        </w:tc>
      </w:tr>
      <w:tr>
        <w:tc>
          <w:p>
            <w:pPr>
              <w:pStyle w:val="Compact"/>
              <w:jc w:val="center"/>
            </w:pPr>
            <w:r>
              <w:t xml:space="preserve">Reforested Deciduous Forest</w:t>
            </w:r>
          </w:p>
        </w:tc>
      </w:tr>
      <w:tr>
        <w:tc>
          <w:p>
            <w:pPr>
              <w:pStyle w:val="Compact"/>
              <w:jc w:val="center"/>
            </w:pPr>
            <w:r>
              <w:t xml:space="preserve">Semi-Deciduous Forest</w:t>
            </w:r>
          </w:p>
        </w:tc>
      </w:tr>
      <w:tr>
        <w:tc>
          <w:p>
            <w:pPr>
              <w:pStyle w:val="Compact"/>
              <w:jc w:val="center"/>
            </w:pPr>
            <w:r>
              <w:t xml:space="preserve">Cloud Forest</w:t>
            </w:r>
          </w:p>
        </w:tc>
      </w:tr>
      <w:tr>
        <w:tc>
          <w:p>
            <w:pPr>
              <w:pStyle w:val="Compact"/>
              <w:jc w:val="center"/>
            </w:pPr>
            <w:r>
              <w:t xml:space="preserve">Pine/Oak Forest</w:t>
            </w:r>
          </w:p>
        </w:tc>
      </w:tr>
      <w:tr>
        <w:tc>
          <w:p>
            <w:pPr>
              <w:pStyle w:val="Compact"/>
              <w:jc w:val="center"/>
            </w:pPr>
            <w:r>
              <w:t xml:space="preserve">Alluvial Forest with Secondary</w:t>
            </w:r>
            <w:r>
              <w:t xml:space="preserve"> </w:t>
            </w:r>
            <w:r>
              <w:t xml:space="preserve">Growth</w:t>
            </w:r>
          </w:p>
        </w:tc>
      </w:tr>
      <w:tr>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(EI-1 and EI-2) and Nancuchiname (N-1) and N-2). We broadcasted the vocalizations of Whiskered Owls, Mottled Owls, Fulvous Owls, Stygian Owls, Great Horned Owls, Whiskered Owls, Mottled Owls, Fulvous Owls, Stygian Owls, and Great Horned Owls at stations 1 through 10, respectively, in both routes of Montecristo (M-1 and M-2). Surveys were repeated at each route up to three times a year from 2003 through 2013, depending on site access and weather. We did not conduct any surveys in 2006. We georeferenced the owl detections for each survey and route to eliminate double counting of the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relates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 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XXXX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~6 years in M-2 and N-1 (Fig. 3XX). The probability of occupancy in M-1 seemed to have decreased through time for Mottled owls (Fig. 3XX).</w:t>
      </w:r>
    </w:p>
    <w:p>
      <w:pPr>
        <w:pStyle w:val="BodyText"/>
      </w:pPr>
      <w:r>
        <w:t xml:space="preserve">For routes EI-1, EI-2, and M-2, the probability of occupancy for Ferruginous Pygmy and Spectacled stayed relatively low across time other than a higher probability of occupancy for Ferruginous Pygmy in EI-1 in the early years of the surveys (Fig. 3XX). The probability of occupancy for Ferruginous Pygmy 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5 (4,5), 3 (3,4), 4 (4,5), 5 (5,5), and 5 (5,5) for EI-1, EI-2, M-1, M-2, N-1, and N-2, respectively. These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Pacific, Crested, Black and White,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Ferruginous Pygmy, and Spectacled owls (Fig. 5XX). The probability of detecting Mottled Owls increased after broadcasting Mottled, Pacific, Crested, Black and White, or Spectacled owl calls. The probability of detecting Ferruginous Pygmy owls increased after broadcasting Mottled and Pacific owl calls, and the probability of detecting Spectacled owls increased after broadcasting Pacific, Black and White,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points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transects).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4"/>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5"/>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6"/>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7"/>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8" w:name="references"/>
      <w:r>
        <w:t xml:space="preserve">References</w:t>
      </w:r>
      <w:bookmarkEnd w:id="38"/>
    </w:p>
    <w:bookmarkStart w:id="79" w:name="refs"/>
    <w:bookmarkStart w:id="39"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39"/>
    <w:bookmarkStart w:id="40" w:name="ref-Alvarez:2003"/>
    <w:p>
      <w:pPr>
        <w:pStyle w:val="Bibliography"/>
      </w:pPr>
      <w:r>
        <w:t xml:space="preserve">Álvarez, J. M., and O. Komar. 2003. El parque nacional el imposible y su vida silvestre. Salva Natura y Ministerio de Medio Ambiente y Recursos Naturales.</w:t>
      </w:r>
    </w:p>
    <w:bookmarkEnd w:id="40"/>
    <w:bookmarkStart w:id="41"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1"/>
    <w:bookmarkStart w:id="42" w:name="ref-Broms:2016"/>
    <w:p>
      <w:pPr>
        <w:pStyle w:val="Bibliography"/>
      </w:pPr>
      <w:r>
        <w:t xml:space="preserve">Broms, K. M., M. B. Hooten, and R. M. Fitzpatrick. 2016. Model selection and assessment for multi-species occupancy models. Ecology 97:1759–1770.</w:t>
      </w:r>
    </w:p>
    <w:bookmarkEnd w:id="42"/>
    <w:bookmarkStart w:id="43" w:name="ref-CIA:2020"/>
    <w:p>
      <w:pPr>
        <w:pStyle w:val="Bibliography"/>
      </w:pPr>
      <w:r>
        <w:t xml:space="preserve">Central Intelligence Agency. 2020. The world factbook. www.cia.gov/the-world-factbook.</w:t>
      </w:r>
    </w:p>
    <w:bookmarkEnd w:id="43"/>
    <w:bookmarkStart w:id="44" w:name="ref-Clark:1978"/>
    <w:p>
      <w:pPr>
        <w:pStyle w:val="Bibliography"/>
      </w:pPr>
      <w:r>
        <w:t xml:space="preserve">Clark, R. J., D. G. Smith, and L. H. Kelso. 1978. Working bibliography of owls of the world. National Wildlife Federation Scientific and Technical Series.</w:t>
      </w:r>
    </w:p>
    <w:bookmarkEnd w:id="44"/>
    <w:bookmarkStart w:id="45" w:name="ref-Corlett:2012"/>
    <w:p>
      <w:pPr>
        <w:pStyle w:val="Bibliography"/>
      </w:pPr>
      <w:r>
        <w:t xml:space="preserve">Corlett, R. T. 2012. Climate change in the tropics: The end of the world as we know it? Biological Conservation 151:22–25.</w:t>
      </w:r>
    </w:p>
    <w:bookmarkEnd w:id="45"/>
    <w:bookmarkStart w:id="46" w:name="ref-Dickey:1938"/>
    <w:p>
      <w:pPr>
        <w:pStyle w:val="Bibliography"/>
      </w:pPr>
      <w:r>
        <w:t xml:space="preserve">Dickey, D. R., and A. J. van Rossem. 1938. The birds of El Salvador. Field Museum of Natural History.</w:t>
      </w:r>
    </w:p>
    <w:bookmarkEnd w:id="46"/>
    <w:bookmarkStart w:id="47"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7"/>
    <w:bookmarkStart w:id="48" w:name="ref-Enriquez:2001"/>
    <w:p>
      <w:pPr>
        <w:pStyle w:val="Bibliography"/>
      </w:pPr>
      <w:r>
        <w:t xml:space="preserve">Enrı́quez, P., and J. Rangel-Salazar. 2001. Owl occurrence and calling behavior in a tropical rain forest. Journal of Raptor Research 35:107–114.</w:t>
      </w:r>
    </w:p>
    <w:bookmarkEnd w:id="48"/>
    <w:bookmarkStart w:id="49"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49"/>
    <w:bookmarkStart w:id="50"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0"/>
    <w:bookmarkStart w:id="51"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1"/>
    <w:bookmarkStart w:id="52"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2"/>
    <w:bookmarkStart w:id="53"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3"/>
    <w:bookmarkStart w:id="54"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4"/>
    <w:bookmarkStart w:id="55" w:name="ref-Johnsgard:1988"/>
    <w:p>
      <w:pPr>
        <w:pStyle w:val="Bibliography"/>
      </w:pPr>
      <w:r>
        <w:t xml:space="preserve">Johnsgard, P. A. 1988. North american owls: Biology and natural history. Yale University Press, New Haven, CT.</w:t>
      </w:r>
    </w:p>
    <w:bookmarkEnd w:id="55"/>
    <w:bookmarkStart w:id="56" w:name="ref-Komar:2002"/>
    <w:p>
      <w:pPr>
        <w:pStyle w:val="Bibliography"/>
      </w:pPr>
      <w:r>
        <w:t xml:space="preserve">Komar, O. 2002. Priority conservation areas for birds in El Salvador. Animal Conservation 5:173–183.</w:t>
      </w:r>
    </w:p>
    <w:bookmarkEnd w:id="56"/>
    <w:bookmarkStart w:id="57" w:name="ref-Komar:2010"/>
    <w:p>
      <w:pPr>
        <w:pStyle w:val="Bibliography"/>
      </w:pPr>
      <w:r>
        <w:t xml:space="preserve">Komar, O. 2010. Research stewardship strategy for Montecristo National Park, El Salvador. Technical report, USAID.</w:t>
      </w:r>
    </w:p>
    <w:bookmarkEnd w:id="57"/>
    <w:bookmarkStart w:id="58" w:name="ref-Konig:1999"/>
    <w:p>
      <w:pPr>
        <w:pStyle w:val="Bibliography"/>
      </w:pPr>
      <w:r>
        <w:t xml:space="preserve">König, C., and F. Weick. 1999. Owls: A guide to owls of the world. Yale University Press, New Haven, CT.</w:t>
      </w:r>
    </w:p>
    <w:bookmarkEnd w:id="58"/>
    <w:bookmarkStart w:id="59" w:name="ref-Mikkola:2012"/>
    <w:p>
      <w:pPr>
        <w:pStyle w:val="Bibliography"/>
      </w:pPr>
      <w:r>
        <w:t xml:space="preserve">Mikkola, H. 2012. Owls of the world-a photographic guide. Firefly Books, Buffalo, New York, NY, USA.</w:t>
      </w:r>
    </w:p>
    <w:bookmarkEnd w:id="59"/>
    <w:bookmarkStart w:id="60"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0"/>
    <w:bookmarkStart w:id="61"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1"/>
    <w:bookmarkStart w:id="62"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2"/>
    <w:bookmarkStart w:id="63" w:name="ref-Myers:2000"/>
    <w:p>
      <w:pPr>
        <w:pStyle w:val="Bibliography"/>
      </w:pPr>
      <w:r>
        <w:t xml:space="preserve">Myers, N., and R. A. Mittermeier. 2000. Biodiversity hotspots for conservation priorities. Nature 403:853.</w:t>
      </w:r>
    </w:p>
    <w:bookmarkEnd w:id="63"/>
    <w:bookmarkStart w:id="6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4"/>
    <w:bookmarkStart w:id="65" w:name="ref-Plummer:2013"/>
    <w:p>
      <w:pPr>
        <w:pStyle w:val="Bibliography"/>
      </w:pPr>
      <w:r>
        <w:t xml:space="preserve">Plummer, M. 2013. JAGS Version 3.4.0 user manual.</w:t>
      </w:r>
    </w:p>
    <w:bookmarkEnd w:id="65"/>
    <w:bookmarkStart w:id="6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6"/>
    <w:bookmarkStart w:id="67" w:name="ref-R:2014"/>
    <w:p>
      <w:pPr>
        <w:pStyle w:val="Bibliography"/>
      </w:pPr>
      <w:r>
        <w:t xml:space="preserve">R Development Core Team. 2014. R: A Language and Environment for Statistical Computing. R Foundation for Statistical Computing, Vienna, Austria.</w:t>
      </w:r>
    </w:p>
    <w:bookmarkEnd w:id="67"/>
    <w:bookmarkStart w:id="68" w:name="ref-Rognan:2009"/>
    <w:p>
      <w:pPr>
        <w:pStyle w:val="Bibliography"/>
      </w:pPr>
      <w:r>
        <w:t xml:space="preserve">Rognan, C. B., J. M. Szewczak, and M. L. Morrison. 2009. Vocal individuality of Great Gray Owls in the Sierra Nevada. The Journal of Wildlife Management 73:755–760.</w:t>
      </w:r>
    </w:p>
    <w:bookmarkEnd w:id="68"/>
    <w:bookmarkStart w:id="69" w:name="ref-Royle:2007"/>
    <w:p>
      <w:pPr>
        <w:pStyle w:val="Bibliography"/>
      </w:pPr>
      <w:r>
        <w:t xml:space="preserve">Royle, J. A. 2007. Analysis of multinomial models with unknown index using data augmentation. Journal of Computational and Graphical Statistics 16:67–85.</w:t>
      </w:r>
    </w:p>
    <w:bookmarkEnd w:id="69"/>
    <w:bookmarkStart w:id="70" w:name="ref-Silva:2016"/>
    <w:p>
      <w:pPr>
        <w:pStyle w:val="Bibliography"/>
      </w:pPr>
      <w:r>
        <w:t xml:space="preserve">Silva, R. O. 2016. Country coffee profile: El Salvador. Technical report, International Coffee Organization.</w:t>
      </w:r>
    </w:p>
    <w:bookmarkEnd w:id="70"/>
    <w:bookmarkStart w:id="7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1"/>
    <w:bookmarkStart w:id="72" w:name="ref-Terry:2005"/>
    <w:p>
      <w:pPr>
        <w:pStyle w:val="Bibliography"/>
      </w:pPr>
      <w:r>
        <w:t xml:space="preserve">Terry, A. M., T. M. Peake, and P. K. McGregor. 2005. The role of vocal individuality in conservation. Frontiers in Zoology 2:10.</w:t>
      </w:r>
    </w:p>
    <w:bookmarkEnd w:id="72"/>
    <w:bookmarkStart w:id="73" w:name="ref-USFWS:1995"/>
    <w:p>
      <w:pPr>
        <w:pStyle w:val="Bibliography"/>
      </w:pPr>
      <w:r>
        <w:t xml:space="preserve">United States Fish and Wildlife Service. 1995. Recovery plan for the Mexican Spotted Owl. Technical report, United States Department of the Interior.</w:t>
      </w:r>
    </w:p>
    <w:bookmarkEnd w:id="73"/>
    <w:bookmarkStart w:id="74" w:name="ref-Vallely:2018"/>
    <w:p>
      <w:pPr>
        <w:pStyle w:val="Bibliography"/>
      </w:pPr>
      <w:r>
        <w:t xml:space="preserve">Vallely, A. C., and D. Dyer. 2018. Birds Of Central America: BELIZE, GUATEMALA, HONDURAS, EL SALVADOR, NICARAGUA, COSTA RICA, and PANAMA. Princeton University Press, Princeton, NJ, USA.</w:t>
      </w:r>
    </w:p>
    <w:bookmarkEnd w:id="74"/>
    <w:bookmarkStart w:id="75" w:name="ref-Wan:2018"/>
    <w:p>
      <w:pPr>
        <w:pStyle w:val="Bibliography"/>
      </w:pPr>
      <w:r>
        <w:t xml:space="preserve">Wan, H. Y., J. L. Ganey, C. D. Vojta, and S. A. Cushman. 2018. Managing emerging threats to spotted owls. The Journal of Wildlife Management 82:682–697.</w:t>
      </w:r>
    </w:p>
    <w:bookmarkEnd w:id="75"/>
    <w:bookmarkStart w:id="76" w:name="ref-West:1988"/>
    <w:p>
      <w:pPr>
        <w:pStyle w:val="Bibliography"/>
      </w:pPr>
      <w:r>
        <w:t xml:space="preserve">West, J. N. 1988. Raptors of El Imposible Forest, El Salvador. Masters thesis, Central Washington University, Ellensburg, WA.</w:t>
      </w:r>
    </w:p>
    <w:bookmarkEnd w:id="76"/>
    <w:bookmarkStart w:id="77" w:name="ref-White:2013"/>
    <w:p>
      <w:pPr>
        <w:pStyle w:val="Bibliography"/>
      </w:pPr>
      <w:r>
        <w:t xml:space="preserve">White, A. M., E. F. Zipkin, P. N. Manley, and M. D. Schlesinger. 2013. Conservation of avian diversity in the Sierra Nevada: Moving beyond a single-species management focus. PLoS ONE 8:e63088.</w:t>
      </w:r>
    </w:p>
    <w:bookmarkEnd w:id="77"/>
    <w:bookmarkStart w:id="78" w:name="ref-Zepeda:1995"/>
    <w:p>
      <w:pPr>
        <w:pStyle w:val="Bibliography"/>
      </w:pPr>
      <w:r>
        <w:t xml:space="preserve">Zepeda, L. 1995. Plan de manejo del área natural silvestre Nancuchiname. Anexo 4 - listado preliminar de las aves del área, San Salvador, El Salvador.</w:t>
      </w:r>
    </w:p>
    <w:bookmarkEnd w:id="78"/>
    <w:bookmarkEnd w:id="7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2021-01-12T15:38:36Z</dcterms:created>
  <dcterms:modified xsi:type="dcterms:W3CDTF">2021-01-12T15:38:36Z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1/11/2021</vt:lpwstr>
  </property>
  <property fmtid="{D5CDD505-2E9C-101B-9397-08002B2CF9AE}" pid="5" name="output">
    <vt:lpwstr/>
  </property>
</Properties>
</file>