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-4.491 -2.580 -1.216  1.332 12.882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6.2725     0.6229  10.070 2.81e-12 ***</w:t>
      </w:r>
      <w:r>
        <w:br w:type="textWrapping"/>
      </w:r>
      <w:r>
        <w:rPr>
          <w:rStyle w:val="VerbatimChar"/>
        </w:rPr>
        <w:t xml:space="preserve">## NAP          -2.5273     0.5922  -4.268 0.000127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3.758 on 38 degrees of freedom</w:t>
      </w:r>
      <w:r>
        <w:br w:type="textWrapping"/>
      </w:r>
      <w:r>
        <w:rPr>
          <w:rStyle w:val="VerbatimChar"/>
        </w:rPr>
        <w:t xml:space="preserve">## Multiple R-squared:  0.324,  Adjusted R-squared:  0.3062 </w:t>
      </w:r>
      <w:r>
        <w:br w:type="textWrapping"/>
      </w:r>
      <w:r>
        <w:rPr>
          <w:rStyle w:val="VerbatimChar"/>
        </w:rPr>
        <w:t xml:space="preserve">## F-statistic: 18.21 on 1 and 38 DF,  p-value: 0.0001266</w:t>
      </w:r>
    </w:p>
    <w:p>
      <w:pPr>
        <w:pStyle w:val="FirstParagraph"/>
      </w:pPr>
      <w:r>
        <w:t xml:space="preserve">The fitted relationship was 6.27 + -2.53x.</w:t>
      </w:r>
    </w:p>
    <w:p>
      <w:pPr>
        <w:pStyle w:val="FigureWithCaption"/>
      </w:pPr>
      <w:r>
        <w:drawing>
          <wp:inline>
            <wp:extent cx="5943600" cy="4754880"/>
            <wp:effectExtent b="0" l="0" r="0" t="0"/>
            <wp:docPr descr="2. The relationship between richness (y) and NAP (x): y = 6.27 + -2.53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6.27 + -2.53x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57b13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51d4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2F44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2017-07-19T16:01:17Z</dcterms:created>
  <dcterms:modified xsi:type="dcterms:W3CDTF">2017-07-19T16:01:17Z</dcterms:modified>
</cp:coreProperties>
</file>