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 xml:space="preserve">Oscar de </w:t>
      </w:r>
      <w:proofErr w:type="spellStart"/>
      <w:r w:rsidRPr="00512B1F">
        <w:t>Grouche</w:t>
      </w:r>
      <w:proofErr w:type="spellEnd"/>
      <w:r w:rsidRPr="00512B1F">
        <w:t>, Jane Doe</w:t>
      </w:r>
    </w:p>
    <w:p w14:paraId="2D1F34A4" w14:textId="77777777" w:rsidR="004C45D9" w:rsidRPr="00CE2F44" w:rsidRDefault="00E56DA0" w:rsidP="00CE2F44">
      <w:pPr>
        <w:pStyle w:val="Date"/>
      </w:pPr>
      <w:r w:rsidRPr="00CE2F44">
        <w:t>April 20, 2017</w:t>
      </w:r>
    </w:p>
    <w:p w14:paraId="21334D00" w14:textId="77777777" w:rsidR="004C45D9" w:rsidRPr="00CE2F44" w:rsidRDefault="00E56DA0" w:rsidP="00CE2F44">
      <w:pPr>
        <w:pStyle w:val="Heading1"/>
      </w:pPr>
      <w:bookmarkStart w:id="0" w:name="abstract"/>
      <w:bookmarkEnd w:id="0"/>
      <w:r w:rsidRPr="00CE2F44">
        <w:t>Abstract</w:t>
      </w:r>
    </w:p>
    <w:p w14:paraId="481DAF2C" w14:textId="77777777" w:rsidR="004C45D9" w:rsidRPr="00CE2F44" w:rsidRDefault="00E56DA0" w:rsidP="00414A9D">
      <w:pPr>
        <w:pStyle w:val="FirstParagraph"/>
      </w:pPr>
      <w:r w:rsidRPr="00CE2F44">
        <w:t>Abstract text would go here.</w:t>
      </w:r>
    </w:p>
    <w:p w14:paraId="35D61156" w14:textId="77777777" w:rsidR="004C45D9" w:rsidRDefault="00E56DA0" w:rsidP="00CE2F44">
      <w:pPr>
        <w:pStyle w:val="Heading1"/>
      </w:pPr>
      <w:bookmarkStart w:id="1" w:name="introduction"/>
      <w:bookmarkEnd w:id="1"/>
      <w: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CE2F44">
      <w:pPr>
        <w:pStyle w:val="Heading1"/>
      </w:pPr>
      <w:bookmarkStart w:id="2" w:name="methods"/>
      <w:bookmarkEnd w:id="2"/>
      <w: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3" w:name="data"/>
      <w:bookmarkEnd w:id="3"/>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4" w:name="statistical-analysis"/>
      <w:bookmarkEnd w:id="4"/>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2762C0"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CE2F44">
      <w:pPr>
        <w:pStyle w:val="Heading1"/>
      </w:pPr>
      <w:bookmarkStart w:id="5" w:name="results"/>
      <w:bookmarkEnd w:id="5"/>
      <w:r>
        <w:lastRenderedPageBreak/>
        <w:t>Results</w:t>
      </w:r>
    </w:p>
    <w:p w14:paraId="06D34C97" w14:textId="77777777" w:rsidR="004C45D9" w:rsidRPr="00037E1B" w:rsidRDefault="00E56DA0" w:rsidP="00037E1B">
      <w:pPr>
        <w:pStyle w:val="Heading2"/>
      </w:pPr>
      <w:bookmarkStart w:id="6" w:name="results-sub-section"/>
      <w:bookmarkStart w:id="7" w:name="_GoBack"/>
      <w:bookmarkEnd w:id="6"/>
      <w:r w:rsidRPr="00037E1B">
        <w:t>Results sub-section</w:t>
      </w:r>
    </w:p>
    <w:p w14:paraId="732DF4AD" w14:textId="77777777" w:rsidR="004C45D9" w:rsidRDefault="00E56DA0" w:rsidP="00CE2F44">
      <w:pPr>
        <w:pStyle w:val="Heading1"/>
      </w:pPr>
      <w:bookmarkStart w:id="8" w:name="discussion"/>
      <w:bookmarkEnd w:id="8"/>
      <w:bookmarkEnd w:id="7"/>
      <w: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CE2F44">
      <w:pPr>
        <w:pStyle w:val="Heading1"/>
      </w:pPr>
      <w:bookmarkStart w:id="9" w:name="figures"/>
      <w:bookmarkEnd w:id="9"/>
      <w: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CE2F44">
      <w:pPr>
        <w:pStyle w:val="Heading1"/>
      </w:pPr>
      <w:bookmarkStart w:id="10" w:name="references"/>
      <w:bookmarkEnd w:id="10"/>
      <w:r>
        <w:lastRenderedPageBreak/>
        <w:t>References</w:t>
      </w:r>
    </w:p>
    <w:p w14:paraId="42EC4CEB" w14:textId="77777777" w:rsidR="004C45D9" w:rsidRPr="00935923" w:rsidRDefault="00E56DA0" w:rsidP="00935923">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E4FB227" w14:textId="77777777" w:rsidR="004C45D9" w:rsidRDefault="00E56DA0" w:rsidP="00935923">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A984B" w14:textId="77777777" w:rsidR="002762C0" w:rsidRDefault="002762C0">
      <w:pPr>
        <w:spacing w:after="0"/>
      </w:pPr>
      <w:r>
        <w:separator/>
      </w:r>
    </w:p>
  </w:endnote>
  <w:endnote w:type="continuationSeparator" w:id="0">
    <w:p w14:paraId="4E39B5D7" w14:textId="77777777" w:rsidR="002762C0" w:rsidRDefault="00276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9C718" w14:textId="77777777" w:rsidR="002762C0" w:rsidRDefault="002762C0">
      <w:r>
        <w:separator/>
      </w:r>
    </w:p>
  </w:footnote>
  <w:footnote w:type="continuationSeparator" w:id="0">
    <w:p w14:paraId="0E2696B9" w14:textId="77777777" w:rsidR="002762C0" w:rsidRDefault="002762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414A9D"/>
    <w:rsid w:val="004C45D9"/>
    <w:rsid w:val="004E29B3"/>
    <w:rsid w:val="004F7951"/>
    <w:rsid w:val="00512B1F"/>
    <w:rsid w:val="00590D07"/>
    <w:rsid w:val="00713C40"/>
    <w:rsid w:val="00784D58"/>
    <w:rsid w:val="008D6863"/>
    <w:rsid w:val="00935923"/>
    <w:rsid w:val="00B86B75"/>
    <w:rsid w:val="00BC48D5"/>
    <w:rsid w:val="00C36279"/>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markdown.rstudio.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Althea A ArchMiller</cp:lastModifiedBy>
  <cp:revision>9</cp:revision>
  <dcterms:created xsi:type="dcterms:W3CDTF">2017-04-20T18:01:00Z</dcterms:created>
  <dcterms:modified xsi:type="dcterms:W3CDTF">2017-07-19T16:01:00Z</dcterms:modified>
</cp:coreProperties>
</file>