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8"/>
        </w:rPr>
        <w:t>Where embodied RL agents break under visual change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Phase-1 benchmark results · Neural Systems Lab · 17 September 2026</w:t>
        <w:br/>
        <w:t>Aarav Srivastava, with Vishwas Sathish and Rajesh Rao · target: LEAP workshop @ CoRL 2026 (deadline 7 Oct)</w:t>
      </w:r>
    </w:p>
    <w:p>
      <w:pPr>
        <w:spacing w:after="120"/>
      </w:pPr>
      <w:r>
        <w:rPr>
          <w:b/>
          <w:i w:val="0"/>
          <w:sz w:val="21"/>
        </w:rPr>
        <w:t>Summary.</w:t>
      </w:r>
      <w:r>
        <w:rPr>
          <w:b w:val="0"/>
          <w:i w:val="0"/>
          <w:sz w:val="21"/>
        </w:rPr>
        <w:t xml:space="preserve"> Five pairs of ProcTHOR houses that are physically identical but look different, with the difference applied in controlled steps. Six agent types, 5 houses × 5 seeds each = 150 trained agents (plus 100 more at half budget). Every agent loses heavily to a change a person would call cosmetic. World models lose least. Domain randomisation helps only before convergence. Large frozen pretrained encoders do not help at all. Model-free agents specifically depend on what the target looks like. Which change hurts is not predicted by how much of the image changed.</w:t>
      </w:r>
    </w:p>
    <w:p>
      <w:pPr>
        <w:pStyle w:val="Heading1"/>
      </w:pPr>
      <w:r>
        <w:rPr>
          <w:color w:val="1A1A1A"/>
        </w:rPr>
        <w:t>1. Question</w:t>
      </w:r>
    </w:p>
    <w:p>
      <w:pPr>
        <w:spacing w:after="120"/>
      </w:pPr>
      <w:r>
        <w:rPr>
          <w:b w:val="0"/>
          <w:i w:val="0"/>
          <w:sz w:val="21"/>
        </w:rPr>
        <w:t>An agent that finds a fridge in one kitchen should still find it after the walls are repainted — same room shape, same fridge, same task. We measure whether current embodied RL agents do, and exactly where they fail. Existing domain-generalisation benchmarks change many things at once, so failures are unattributable; we change one thing at a time and hold physics fixed.</w:t>
      </w:r>
    </w:p>
    <w:p>
      <w:pPr>
        <w:spacing w:after="120"/>
      </w:pPr>
      <w:r>
        <w:rPr>
          <w:b w:val="0"/>
          <w:i w:val="0"/>
          <w:sz w:val="21"/>
        </w:rPr>
        <w:t>This is the evidence that the lab's masking-network + CSCG direction is needed, and the specification of what it must fix.</w:t>
      </w:r>
    </w:p>
    <w:p>
      <w:pPr>
        <w:pStyle w:val="Heading1"/>
      </w:pPr>
      <w:r>
        <w:rPr>
          <w:color w:val="1A1A1A"/>
        </w:rPr>
        <w:t>2. Benchmark</w:t>
      </w:r>
    </w:p>
    <w:p>
      <w:pPr>
        <w:spacing w:after="120"/>
      </w:pPr>
      <w:r>
        <w:rPr>
          <w:b w:val="0"/>
          <w:i w:val="0"/>
          <w:sz w:val="21"/>
        </w:rPr>
        <w:t>Five house pairs from ProcTHOR-10k, 128–681 reachable floor cells. House A is where the agent trains; the rest are the same house with appearance changed cumulatively.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rung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what changes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paper name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nothing — the training house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L1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wall/floor materials, lighting, skybox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L2noT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L1 + every object's appearance EXCEPT the target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L2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L1 + every object's appearance INCLUDING the target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L3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L2 + distractor objects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L4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</w:rPr>
        <w:t>L2noT is the designed control:</w:t>
      </w:r>
      <w:r>
        <w:rPr>
          <w:b w:val="0"/>
          <w:i w:val="0"/>
          <w:sz w:val="21"/>
        </w:rPr>
        <w:t xml:space="preserve"> it differs from L2 in exactly one thing, whether the target itself was restyled. That separates "depends on what the goal looks like" from "depends on the room looking familiar".</w:t>
      </w:r>
    </w:p>
    <w:p>
      <w:pPr>
        <w:spacing w:after="120"/>
      </w:pPr>
      <w:r>
        <w:rPr>
          <w:b w:val="0"/>
          <w:i w:val="0"/>
          <w:sz w:val="21"/>
        </w:rPr>
        <w:t>Every variant passes a runtime check on three independent simulator loads (identical floor cells, start poses, target count). This caught restyled furniture silently blocking floor cells, and — subtler — the agent's collider nudging objects as it walks until one came to rest on a start pose. All objects are now fixed in place.</w:t>
      </w:r>
    </w:p>
    <w:p>
      <w:pPr>
        <w:pStyle w:val="Heading1"/>
      </w:pPr>
      <w:r>
        <w:rPr>
          <w:color w:val="1A1A1A"/>
        </w:rPr>
        <w:t>3.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Identical 300k-step budget across agents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The fairness currency; no cross-agent claim survives without it.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Equal budget is necessary but NOT sufficient — in-domain competence must match too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At 150k, augmentation had not converged (0.835 vs PPO's 0.920), flattering its transfer score.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Start poses pinned by construction (position and heading)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 blocked cell previously caused a silent re-draw: A and B began in different places, nothing errored.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20% of floor cells held out for evaluation only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So results are not memorised start positions.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Path-length yardstick measured once in house A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 restyled fridge has a different mesh, which would move the yardstick itself.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A policy is only evaluated under the renderer it trained with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The same checkpoint scored 0.92 on the cluster and 0.00 locally.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Exclusions require a documented defect, never an inconvenient value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Rule fixed before looking at numbers.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A1A1A"/>
        </w:rPr>
        <w:t>4. The six 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vision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trained?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predicts future?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trainable params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small CNN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4.8M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augmentation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CNN, colour-jittered inputs in training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4.8M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JEPA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I-JEPA ViT-H/14, 631M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 — frozen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0.17M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MAE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MAE ViT-H/14, 631M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 — frozen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0.17M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TD-MPC2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CNN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 — next latent, reward, value; no decoder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~5M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DreamerV3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CNN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yes — and must redraw the image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~19M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</w:rPr>
        <w:t>The two frozen encoders are a matched pair:</w:t>
      </w:r>
      <w:r>
        <w:rPr>
          <w:b w:val="0"/>
          <w:i w:val="0"/>
          <w:sz w:val="21"/>
        </w:rPr>
        <w:t xml:space="preserve"> same architecture, size, and ImageNet-1K pretraining data, frozen identically, identical policy head. Only the pretraining objective differs — MAE redraws missing pixels, I-JEPA predicts the representation of missing regions.</w:t>
      </w:r>
    </w:p>
    <w:p>
      <w:pPr>
        <w:spacing w:after="120"/>
      </w:pPr>
      <w:r>
        <w:rPr>
          <w:b/>
          <w:i w:val="0"/>
          <w:sz w:val="21"/>
        </w:rPr>
        <w:t>Terminology:</w:t>
      </w:r>
      <w:r>
        <w:rPr>
          <w:b w:val="0"/>
          <w:i w:val="0"/>
          <w:sz w:val="21"/>
        </w:rPr>
        <w:t xml:space="preserve"> neither is a world model. Both predict within a still image — no time, no actions. The JEPA-family world model is V-JEPA 2-AC (action-conditioned video). These two answer the reviewer question "why not just use a modern pretrained encoder?"</w:t>
      </w:r>
    </w:p>
    <w:p>
      <w:pPr>
        <w:pStyle w:val="Heading1"/>
      </w:pPr>
      <w:r>
        <w:rPr>
          <w:color w:val="1A1A1A"/>
        </w:rPr>
        <w:t>5. Results</w:t>
      </w:r>
    </w:p>
    <w:p>
      <w:pPr>
        <w:spacing w:after="120"/>
      </w:pPr>
      <w:r>
        <w:rPr>
          <w:b w:val="0"/>
          <w:i w:val="0"/>
          <w:sz w:val="21"/>
        </w:rPr>
        <w:t>150 trained agents, each evaluated on all five rungs, 25 episodes per rung; plus a full second grid at 150k steps for the budget contrast.</w:t>
      </w:r>
    </w:p>
    <w:p>
      <w:pPr>
        <w:pStyle w:val="Heading2"/>
      </w:pPr>
      <w:r>
        <w:rPr>
          <w:color w:val="1A1A1A"/>
          <w:sz w:val="24"/>
        </w:rPr>
        <w:t>5.1 Success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19"/>
              </w:rPr>
              <w:t>A (training)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19"/>
              </w:rPr>
              <w:t>L1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19"/>
              </w:rPr>
              <w:t>L2noT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19"/>
              </w:rPr>
              <w:t>L2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19"/>
              </w:rPr>
              <w:t>L3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PPO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0.93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0.52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0.45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0.29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0.29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PPO + augmentation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0.93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0.52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0.47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0.35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PPO + JEPA (frozen)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0.90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0.47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0.43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0.39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0.39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PPO + MAE (frozen)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0.92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0.35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0.34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0.27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0.26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TD-MPC2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0.99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0.64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0.59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0.54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0.54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19"/>
              </w:rPr>
              <w:t>DreamerV3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0.76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0.61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0.64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0.60</w:t>
            </w:r>
          </w:p>
        </w:tc>
        <w:tc>
          <w:tcPr>
            <w:tcW w:type="dxa" w:w="1608"/>
          </w:tcPr>
          <w:p>
            <w:r/>
            <w:r>
              <w:rPr>
                <w:sz w:val="19"/>
              </w:rPr>
              <w:t>0.62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55555"/>
          <w:sz w:val="18"/>
        </w:rPr>
        <w:t>DreamerV3's house-A figure is depressed by 5 of its 25 runs that never learned the task (see Limitations).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78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d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7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55555"/>
          <w:sz w:val="18"/>
        </w:rPr>
        <w:t>Figure 1. Degradation across the ladder, one panel per house, ordered by size. Hue = architecture class, dash = member. Bands ±1 s.d. over seeds. The spread between houses is itself a result: pair3 collapses for every agent, pair2 barely moves for any.</w:t>
      </w:r>
    </w:p>
    <w:p>
      <w:pPr>
        <w:pStyle w:val="Heading2"/>
      </w:pPr>
      <w:r>
        <w:rPr>
          <w:color w:val="1A1A1A"/>
          <w:sz w:val="24"/>
        </w:rPr>
        <w:t>5.2 Share of house-A success lost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runs counted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L1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L2</w:t>
            </w:r>
          </w:p>
        </w:tc>
        <w:tc>
          <w:tcPr>
            <w:tcW w:type="dxa" w:w="1930"/>
          </w:tcPr>
          <w:p>
            <w:r/>
            <w:r>
              <w:rPr>
                <w:b/>
                <w:sz w:val="19"/>
              </w:rPr>
              <w:t>L3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25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69%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augmentation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25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44%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62%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JEPA (frozen)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25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50%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58%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58%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PPO + MAE (frozen)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25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63%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72%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72%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TD-MPC2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25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35%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46%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46%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19"/>
              </w:rPr>
              <w:t>DreamerV3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20 of 25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38%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36%</w:t>
            </w:r>
          </w:p>
        </w:tc>
        <w:tc>
          <w:tcPr>
            <w:tcW w:type="dxa" w:w="1930"/>
          </w:tcPr>
          <w:p>
            <w:r/>
            <w:r>
              <w:rPr>
                <w:sz w:val="19"/>
              </w:rPr>
              <w:t>35%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55555"/>
          <w:sz w:val="18"/>
        </w:rPr>
        <w:t>Runs below 0.5 in house A are excluded from this ratio only — a near-zero denominator makes the percentage meaningless. Rule fixed before the numbers were seen.</w:t>
      </w:r>
    </w:p>
    <w:p>
      <w:pPr>
        <w:pStyle w:val="Heading2"/>
      </w:pPr>
      <w:r>
        <w:rPr>
          <w:color w:val="1A1A1A"/>
          <w:sz w:val="24"/>
        </w:rPr>
        <w:t>5.3 Six findings</w:t>
      </w:r>
    </w:p>
    <w:p>
      <w:pPr>
        <w:spacing w:after="120"/>
      </w:pPr>
      <w:r>
        <w:rPr>
          <w:b/>
          <w:i w:val="0"/>
          <w:sz w:val="21"/>
        </w:rPr>
        <w:t>1. Every agent breaks.</w:t>
      </w:r>
      <w:r>
        <w:rPr>
          <w:b w:val="0"/>
          <w:i w:val="0"/>
          <w:sz w:val="21"/>
        </w:rPr>
        <w:t xml:space="preserve"> Repainting walls and changing lighting alone (L1) costs every agent a third to two-thirds of its training-house ability. No architecture is immune.</w:t>
      </w:r>
    </w:p>
    <w:p>
      <w:pPr>
        <w:spacing w:after="120"/>
      </w:pPr>
      <w:r>
        <w:rPr>
          <w:b/>
          <w:i w:val="0"/>
          <w:sz w:val="21"/>
        </w:rPr>
        <w:t>2. World models lose least, significantly.</w:t>
      </w:r>
      <w:r>
        <w:rPr>
          <w:b w:val="0"/>
          <w:i w:val="0"/>
          <w:sz w:val="21"/>
        </w:rPr>
        <w:t xml:space="preserve"> PPO → TD-MPC2 +22.4 points (p = 0.0004); PPO → DreamerV3 +33.5 (p = 0.0017). Both survive correction. </w:t>
      </w:r>
      <w:r>
        <w:rPr>
          <w:b/>
          <w:i w:val="0"/>
          <w:sz w:val="21"/>
        </w:rPr>
        <w:t>Which kind of world model is better is unresolved</w:t>
      </w:r>
      <w:r>
        <w:rPr>
          <w:b w:val="0"/>
          <w:i w:val="0"/>
          <w:sz w:val="21"/>
        </w:rPr>
        <w:t xml:space="preserve"> — DreamerV3 vs TD-MPC2 is 11 points, p = 0.17. An earlier single-house result suggested DreamerV3 clearly won; across five houses it does not.</w:t>
      </w:r>
    </w:p>
    <w:p>
      <w:pPr>
        <w:spacing w:after="120"/>
      </w:pPr>
      <w:r>
        <w:rPr>
          <w:b/>
          <w:i w:val="0"/>
          <w:sz w:val="21"/>
        </w:rPr>
        <w:t>3. Domain randomisation only appears to work at a small budget.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comparison at L2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150k steps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300k steps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PPO vs PPO + augmentation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+24.4 pts, p = 0.0001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+6.7 pts, p = 0.11 (n.s.)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PPO vs TD-MPC2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+26.0 pts, p &lt; 0.0001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+22.4 pts, p = 0.0002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 xml:space="preserve">Two real mechanisms: jittered inputs are harder to fit, so at a shared budget the augmented agent had not converged; and its absolute L2 success *fell* with more training, 0.474 → 0.354. </w:t>
      </w:r>
      <w:r>
        <w:rPr>
          <w:b/>
          <w:i w:val="0"/>
          <w:sz w:val="21"/>
        </w:rPr>
        <w:t>Augmentation delays overfitting to the training house; it does not prevent it.</w:t>
      </w:r>
      <w:r>
        <w:rPr>
          <w:b w:val="0"/>
          <w:i w:val="0"/>
          <w:sz w:val="21"/>
        </w:rPr>
        <w:t xml:space="preserve"> Only available because we kept both budgets.</w:t>
      </w:r>
    </w:p>
    <w:p>
      <w:pPr>
        <w:spacing w:after="120"/>
      </w:pPr>
      <w:r>
        <w:rPr>
          <w:b/>
          <w:i w:val="0"/>
          <w:sz w:val="21"/>
        </w:rPr>
        <w:t>4. Model-free agents depend on what the target looks like.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agent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effect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p (corrected, 6 agents)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real?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+0.20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0.021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 + augmentation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+0.14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0.019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 + MAE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+0.09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0.004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 + JEPA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+0.05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0.19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TD-MPC2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+0.06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0.21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DreamerV3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−0.02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0.53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9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arge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55555"/>
          <w:sz w:val="18"/>
        </w:rPr>
        <w:t>Figure 2. Each dot is one trained agent: success with the target's original appearance minus success with it restyled. Bar = house mean. pair2 is the negative control — its two houses are the same file, and every agent correctly shows ~0.</w:t>
      </w:r>
    </w:p>
    <w:p>
      <w:pPr>
        <w:spacing w:after="120"/>
      </w:pPr>
      <w:r>
        <w:rPr>
          <w:b w:val="0"/>
          <w:i w:val="0"/>
          <w:sz w:val="21"/>
        </w:rPr>
        <w:t>PPO loses 0.20 purely because the fridge was restyled; the room is otherwise identical. World models show no such dependence. The effect concentrates in two houses — in a third the agent has already collapsed at L1, and in the fourth the target is barely visible from the start positions.</w:t>
      </w:r>
    </w:p>
    <w:p>
      <w:pPr>
        <w:spacing w:after="120"/>
      </w:pPr>
      <w:r>
        <w:rPr>
          <w:b/>
          <w:i w:val="0"/>
          <w:sz w:val="21"/>
        </w:rPr>
        <w:t>5. A large pretrained encoder does not fix this.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comparison at L1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difference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p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 vs MAE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MAE worse by 18.4 pts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0.017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significantly worse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PPO vs JEPA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JEPA worse by 4.9 pts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0.48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statistically a tie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 xml:space="preserve">Neither 631M-parameter encoder, pretrained on millions of internet images, beats a small CNN trained from scratch in one room. </w:t>
      </w:r>
      <w:r>
        <w:rPr>
          <w:b/>
          <w:i w:val="0"/>
          <w:sz w:val="21"/>
        </w:rPr>
        <w:t>The honest claim is "no better", not "worse"</w:t>
      </w:r>
      <w:r>
        <w:rPr>
          <w:b w:val="0"/>
          <w:i w:val="0"/>
          <w:sz w:val="21"/>
        </w:rPr>
        <w:t xml:space="preserve"> — that only holds for MAE. Suggestive but not established: I-JEPA beats MAE in the same direction at every rung (14.3 pts at L2, raw p = 0.022), which would say pretraining to predict representations transfers better than pretraining to redraw pixels. It does not survive correction across 15 comparisons (p = 0.17).</w:t>
      </w:r>
    </w:p>
    <w:p>
      <w:pPr>
        <w:spacing w:after="120"/>
      </w:pPr>
      <w:r>
        <w:rPr>
          <w:b/>
          <w:i w:val="0"/>
          <w:sz w:val="21"/>
        </w:rPr>
        <w:t>6. What changes matters more than how much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11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magechan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1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55555"/>
          <w:sz w:val="18"/>
        </w:rPr>
        <w:t>Figure 3. (a) Per house: how much L1 alters the camera image vs how much success is lost — five houses cannot settle this either way. (b) Within house: the target swap adds ~1 unit on a 0–255 scale and costs PPO 0.47 success; clutter changes the image seven times more and costs nothing.</w:t>
      </w:r>
    </w:p>
    <w:p>
      <w:pPr>
        <w:spacing w:after="120"/>
      </w:pPr>
      <w:r>
        <w:rPr>
          <w:b w:val="0"/>
          <w:i w:val="0"/>
          <w:sz w:val="21"/>
        </w:rPr>
        <w:t>Panel (b) is the stronger evidence because it is within-house: the smallest image change in the ladder is among the most damaging, while a much larger one is free.</w:t>
      </w:r>
    </w:p>
    <w:p>
      <w:pPr>
        <w:pStyle w:val="Heading2"/>
      </w:pPr>
      <w:r>
        <w:rPr>
          <w:color w:val="1A1A1A"/>
          <w:sz w:val="24"/>
        </w:rPr>
        <w:t>5.4 What it looks like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546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ilmstrip_pair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4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55555"/>
          <w:sz w:val="18"/>
        </w:rPr>
        <w:t>Figure 4. One PPO agent, one fixed start, all five rungs. Reaches the fridge in 12 steps in the training house, the repainted house, and with other objects restyled — then fails completely once the fridge itself is restyled.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546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ilmstrip_pair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4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555555"/>
          <w:sz w:val="18"/>
        </w:rPr>
        <w:t>Figure 5. Another house. Reaches the bed in 8 steps in training; after only walls, floor and lighting change, it turns away from a plainly visible bed and never finds it.</w:t>
      </w:r>
    </w:p>
    <w:p>
      <w:pPr>
        <w:pStyle w:val="Heading1"/>
      </w:pPr>
      <w:r>
        <w:rPr>
          <w:color w:val="1A1A1A"/>
        </w:rPr>
        <w:t>6. Statistics, and an honest problem</w:t>
      </w:r>
    </w:p>
    <w:p>
      <w:pPr>
        <w:spacing w:after="120"/>
      </w:pPr>
      <w:r>
        <w:rPr>
          <w:b w:val="0"/>
          <w:i w:val="0"/>
          <w:sz w:val="21"/>
        </w:rPr>
        <w:t>Permutation tests shuffling labels within each house, so between-house differences cannot manufacture a result. The target test is exact (all 1,048,576 sign patterns). Every script self-tests on known answers; each result was recomputed by an independent implementation.</w:t>
      </w:r>
    </w:p>
    <w:p>
      <w:pPr>
        <w:spacing w:after="120"/>
      </w:pPr>
      <w:r>
        <w:rPr>
          <w:b/>
          <w:i w:val="0"/>
          <w:sz w:val="21"/>
        </w:rPr>
        <w:t>The problem:</w:t>
      </w:r>
      <w:r>
        <w:rPr>
          <w:b w:val="0"/>
          <w:i w:val="0"/>
          <w:sz w:val="21"/>
        </w:rPr>
        <w:t xml:space="preserve"> six agents means 15 pairwise comparisons, and some will look impressive by chance. Correcting for that raised the bar and two results fell below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claim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raw p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corrected across 15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I-JEPA beats MAE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0.022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0.17 — not significant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PPO + augmentation vs TD-MPC2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0.0064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0.058 — not significant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 xml:space="preserve">The second was significant when we had four agents. </w:t>
      </w:r>
      <w:r>
        <w:rPr>
          <w:b/>
          <w:i w:val="0"/>
          <w:sz w:val="21"/>
        </w:rPr>
        <w:t>Adding two agents made an existing result harder to defend with no number changing.</w:t>
      </w:r>
      <w:r>
        <w:rPr>
          <w:b w:val="0"/>
          <w:i w:val="0"/>
          <w:sz w:val="21"/>
        </w:rPr>
        <w:t xml:space="preserve"> Decision needed: correct across all 15, or treat pre-specified comparisons as their own family. The latter is defensible — the matched pair and its single question were timestamped in the project log before those runs — but a reviewer may push, and we should agree a position rather than pick the flattering one per claim.</w:t>
      </w:r>
    </w:p>
    <w:p>
      <w:pPr>
        <w:pStyle w:val="Heading1"/>
      </w:pPr>
      <w:r>
        <w:rPr>
          <w:color w:val="1A1A1A"/>
        </w:rPr>
        <w:t>7. Limitations we will disclose</w:t>
      </w:r>
    </w:p>
    <w:p>
      <w:pPr>
        <w:pStyle w:val="ListBullet"/>
        <w:spacing w:after="60"/>
      </w:pPr>
      <w:r>
        <w:rPr>
          <w:b/>
          <w:sz w:val="21"/>
        </w:rPr>
        <w:t>DreamerV3 reliability:</w:t>
      </w:r>
      <w:r>
        <w:rPr>
          <w:b w:val="0"/>
          <w:sz w:val="21"/>
        </w:rPr>
        <w:t xml:space="preserve"> 5 of 25 runs never learned the training house; it needs more samples than the others.</w:t>
      </w:r>
    </w:p>
    <w:p>
      <w:pPr>
        <w:pStyle w:val="ListBullet"/>
        <w:spacing w:after="60"/>
      </w:pPr>
      <w:r>
        <w:rPr>
          <w:b/>
          <w:sz w:val="21"/>
        </w:rPr>
        <w:t>Same seed, different agent:</w:t>
      </w:r>
      <w:r>
        <w:rPr>
          <w:b w:val="0"/>
          <w:sz w:val="21"/>
        </w:rPr>
        <w:t xml:space="preserve"> retraining a cell with an identical seed gave 0.24 vs 1.00 in the training house. GPU non-determinism means only multi-seed means are meaningful.</w:t>
      </w:r>
    </w:p>
    <w:p>
      <w:pPr>
        <w:pStyle w:val="ListBullet"/>
        <w:spacing w:after="60"/>
      </w:pPr>
      <w:r>
        <w:rPr>
          <w:b/>
          <w:sz w:val="21"/>
        </w:rPr>
        <w:t>Trainable capacity is unmatched for the frozen-encoder agents</w:t>
      </w:r>
      <w:r>
        <w:rPr>
          <w:b w:val="0"/>
          <w:sz w:val="21"/>
        </w:rPr>
        <w:t xml:space="preserve"> — 0.17M vs PPO's 4.8M. Inherent to freezing and standard in that literature; does not affect JEPA-vs-MAE, which share a head.</w:t>
      </w:r>
    </w:p>
    <w:p>
      <w:pPr>
        <w:pStyle w:val="ListBullet"/>
        <w:spacing w:after="60"/>
      </w:pPr>
      <w:r>
        <w:rPr>
          <w:b/>
          <w:sz w:val="21"/>
        </w:rPr>
        <w:t>One task type</w:t>
      </w:r>
      <w:r>
        <w:rPr>
          <w:b w:val="0"/>
          <w:sz w:val="21"/>
        </w:rPr>
        <w:t xml:space="preserve"> (object-goal navigation). A sequential variant is built but not run.</w:t>
      </w:r>
    </w:p>
    <w:p>
      <w:pPr>
        <w:pStyle w:val="ListBullet"/>
        <w:spacing w:after="60"/>
      </w:pPr>
      <w:r>
        <w:rPr>
          <w:b/>
          <w:sz w:val="21"/>
        </w:rPr>
        <w:t>Image change is measured from the starting view only</w:t>
      </w:r>
      <w:r>
        <w:rPr>
          <w:b w:val="0"/>
          <w:sz w:val="21"/>
        </w:rPr>
        <w:t>, so an out-of-frame target registers little change.</w:t>
      </w:r>
    </w:p>
    <w:p>
      <w:pPr>
        <w:pStyle w:val="ListBullet"/>
        <w:spacing w:after="60"/>
      </w:pPr>
      <w:r>
        <w:rPr>
          <w:b/>
          <w:sz w:val="21"/>
        </w:rPr>
        <w:t>Five houses</w:t>
      </w:r>
      <w:r>
        <w:rPr>
          <w:b w:val="0"/>
          <w:sz w:val="21"/>
        </w:rPr>
        <w:t xml:space="preserve"> limits per-house statistics; the target control uses the four whose target could be restyled.</w:t>
      </w:r>
    </w:p>
    <w:p>
      <w:pPr>
        <w:pStyle w:val="ListBullet"/>
        <w:spacing w:after="60"/>
      </w:pPr>
      <w:r>
        <w:rPr>
          <w:b/>
          <w:sz w:val="21"/>
        </w:rPr>
        <w:t>Dense-shaped reward and auto-termination on success</w:t>
      </w:r>
      <w:r>
        <w:rPr>
          <w:b w:val="0"/>
          <w:sz w:val="21"/>
        </w:rPr>
        <w:t xml:space="preserve"> — easier than the strict Habitat protocol.</w:t>
      </w:r>
    </w:p>
    <w:p>
      <w:pPr>
        <w:pStyle w:val="Heading1"/>
      </w:pPr>
      <w:r>
        <w:rPr>
          <w:color w:val="1A1A1A"/>
        </w:rPr>
        <w:t>8. Status, and what we would like to decide</w:t>
      </w:r>
    </w:p>
    <w:p>
      <w:pPr>
        <w:spacing w:after="120"/>
      </w:pPr>
      <w:r>
        <w:rPr>
          <w:b w:val="0"/>
          <w:i w:val="0"/>
          <w:sz w:val="21"/>
        </w:rPr>
        <w:t>All experiments are complete: 250 trained agents across two budgets; every figure and table generated from committed data by script, nothing transcribed by hand. Writing was scheduled to start 27 September against the 7 October deadline.</w:t>
      </w:r>
    </w:p>
    <w:p>
      <w:pPr>
        <w:pStyle w:val="ListNumber"/>
        <w:spacing w:after="60"/>
      </w:pPr>
      <w:r>
        <w:rPr>
          <w:b/>
          <w:sz w:val="21"/>
        </w:rPr>
        <w:t>Multiple-comparison position</w:t>
      </w:r>
      <w:r>
        <w:rPr>
          <w:b w:val="0"/>
          <w:sz w:val="21"/>
        </w:rPr>
        <w:t xml:space="preserve"> (section 6) — pre-specified families, or correct across all 15?</w:t>
      </w:r>
    </w:p>
    <w:p>
      <w:pPr>
        <w:pStyle w:val="ListNumber"/>
        <w:spacing w:after="60"/>
      </w:pPr>
      <w:r>
        <w:rPr>
          <w:b/>
          <w:sz w:val="21"/>
        </w:rPr>
        <w:t>Worth 5 more seeds</w:t>
      </w:r>
      <w:r>
        <w:rPr>
          <w:b w:val="0"/>
          <w:sz w:val="21"/>
        </w:rPr>
        <w:t xml:space="preserve"> on JEPA and MAE to settle representation- vs pixel-pretraining? ~30 h of cluster time, and it would have to be pre-registered since we have already seen the result.</w:t>
      </w:r>
    </w:p>
    <w:p>
      <w:pPr>
        <w:pStyle w:val="ListNumber"/>
        <w:spacing w:after="60"/>
      </w:pPr>
      <w:r>
        <w:rPr>
          <w:b/>
          <w:sz w:val="21"/>
        </w:rPr>
        <w:t>Workshop now, or build toward a conference?</w:t>
      </w:r>
      <w:r>
        <w:rPr>
          <w:b w:val="0"/>
          <w:sz w:val="21"/>
        </w:rPr>
        <w:t xml:space="preserve"> The benchmark plus these six agents is a complete workshop paper today. The natural conference-scale extension is a planning agent on a video world model — imagine the consequence of an action, score it, act — i.e. TD-MPC2's structure with a pretrained imagination. That is a new method, needs weeks, and cannot meet this paper's budget-parity rule, so not before 7 October.</w:t>
      </w:r>
    </w:p>
    <w:p>
      <w:pPr>
        <w:pStyle w:val="ListNumber"/>
        <w:spacing w:after="60"/>
      </w:pPr>
      <w:r>
        <w:rPr>
          <w:b/>
          <w:sz w:val="21"/>
        </w:rPr>
        <w:t>Authorship order</w:t>
      </w:r>
      <w:r>
        <w:rPr>
          <w:b w:val="0"/>
          <w:sz w:val="21"/>
        </w:rPr>
        <w:t xml:space="preserve"> — we assume Aarav, Vishwas, Rao unless you would order it differently.</w:t>
      </w:r>
    </w:p>
    <w:p>
      <w:pPr>
        <w:pStyle w:val="Heading1"/>
      </w:pPr>
      <w:r>
        <w:rPr>
          <w:color w:val="1A1A1A"/>
        </w:rPr>
        <w:t>9. Reproducibility</w:t>
      </w:r>
    </w:p>
    <w:p>
      <w:pPr>
        <w:spacing w:after="120"/>
      </w:pPr>
      <w:r>
        <w:rPr>
          <w:b w:val="0"/>
          <w:i w:val="0"/>
          <w:sz w:val="21"/>
        </w:rPr>
        <w:t>Every number regenerates from committed files by script. The experiment tracker holds 946 rows — one per trained agent per rung — each carrying the git commit and cluster job id that produced it. Raw per-episode CSVs, the tracker and the paper tables were cross-checked and agree to three decimals on all six agents.</w:t>
      </w:r>
    </w:p>
    <w:p>
      <w:pPr>
        <w:spacing w:after="120"/>
      </w:pPr>
      <w:r>
        <w:rPr>
          <w:b w:val="0"/>
          <w:i w:val="0"/>
          <w:color w:val="555555"/>
          <w:sz w:val="18"/>
        </w:rPr>
        <w:t>Repository: github.com/aaarvs07ranger/neural-systems-lab · results in results/grid_300000/ (headline), results/grid/ (150k appendix), tracker in results/tracker/.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