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000000"/>
        </w:rPr>
        <w:t xml:space="preserve">Final Analysis 1: Responder 362 vs All Non-Responders (n=512)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Date: 2026-02-16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Objective: quantify missing contact/demographic data among all non-responders, because missingness itself may predict non-response.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Field-Level Missingness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Missingness by Variable (All Non-Responders)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variable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label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missing_n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total_n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missing_pct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ID/initials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25.2%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q0003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Name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189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36.9%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Email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23.6%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q0005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Age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60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11.7%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q0006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Gender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11.1%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State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11.1%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q0008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Education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11.1%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q0009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Years of experience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57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11.1%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q0012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GBV caseload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84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16.4%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Combined Missingness Indicators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000000"/>
        </w:rPr>
        <w:t xml:space="preserve">Composite Missingness Metrics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metric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total_n</w:t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00000"/>
        </w:rPr>
        <w:t xml:space="preserve">pct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Any contact field missing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191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37.3%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All contact fields missing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59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11.5%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Any demographic field missing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121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23.6%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All demographic fields missing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4.3%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Any contact OR demographic missing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240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512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000000"/>
        </w:rPr>
        <w:t xml:space="preserve">46.9%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000000"/>
        </w:rPr>
        <w:t xml:space="preserve">Interpretation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Responders (colleague matched): 362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All non-responders: 512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Any contact field missing among non-responders: 191 (37.3%)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All contact fields missing among non-responders: 59 (11.5%)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Any demographic field missing among non-responders: 121 (23.6%)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All demographic fields missing among non-responders: 22 (4.3%)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Any contact OR demographic field missing among non-responders: 240 (46.9%)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CocoaOOXMLWriter/2113.4</generator>
</meta>
</file>