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17.png" ContentType="image/png"/>
  <Override PartName="/word/media/rId89.png" ContentType="image/png"/>
  <Override PartName="/word/media/rId93.png" ContentType="image/png"/>
  <Override PartName="/word/media/rId98.png" ContentType="image/png"/>
  <Override PartName="/word/media/rId102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21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Julia. Установка и настройка. Основные принципы.</w:t>
      </w:r>
    </w:p>
    <w:p>
      <w:pPr>
        <w:pStyle w:val="Author"/>
      </w:pPr>
      <w:r>
        <w:t xml:space="preserve">Доберштейн Алина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подготовить рабочее пространство и инструментарий для работы с языком программирования Julia, на простейших примерах познакомиться с основами синтаксиса Julia.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Установите под свою операционную систему Julia, Jupyter.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работы.</w:t>
      </w:r>
    </w:p>
    <w:bookmarkEnd w:id="10"/>
    <w:bookmarkStart w:id="11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–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Julia.</w:t>
      </w:r>
    </w:p>
    <w:bookmarkEnd w:id="11"/>
    <w:bookmarkStart w:id="1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Запустила Julia. (рис. 1).</w:t>
      </w:r>
    </w:p>
    <w:bookmarkStart w:id="15" w:name="fig:001"/>
    <w:p>
      <w:pPr>
        <w:pStyle w:val="CaptionedFigure"/>
      </w:pPr>
      <w:r>
        <w:drawing>
          <wp:inline>
            <wp:extent cx="3733800" cy="1044954"/>
            <wp:effectExtent b="0" l="0" r="0" t="0"/>
            <wp:docPr descr="Рис. 1: Julia" title="" id="13" name="Picture"/>
            <a:graphic>
              <a:graphicData uri="http://schemas.openxmlformats.org/drawingml/2006/picture">
                <pic:pic>
                  <pic:nvPicPr>
                    <pic:cNvPr descr="image/1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Julia</w:t>
      </w:r>
    </w:p>
    <w:bookmarkEnd w:id="15"/>
    <w:bookmarkEnd w:id="16"/>
    <w:bookmarkStart w:id="173" w:name="простейшие-операции-на-языке-julia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Простейшие операции на языке Julia</w:t>
      </w:r>
    </w:p>
    <w:p>
      <w:pPr>
        <w:pStyle w:val="FirstParagraph"/>
      </w:pPr>
      <w:r>
        <w:t xml:space="preserve">Повторила простейшие примеры для знакомства с синтаксисом Julia из лабораторной работы.(рис. 2-8).</w:t>
      </w:r>
    </w:p>
    <w:bookmarkStart w:id="20" w:name="fig:002"/>
    <w:p>
      <w:pPr>
        <w:pStyle w:val="CaptionedFigure"/>
      </w:pPr>
      <w:r>
        <w:drawing>
          <wp:inline>
            <wp:extent cx="3733800" cy="1133143"/>
            <wp:effectExtent b="0" l="0" r="0" t="0"/>
            <wp:docPr descr="Рис. 2: Простейшие арифметические операции" title="" id="18" name="Picture"/>
            <a:graphic>
              <a:graphicData uri="http://schemas.openxmlformats.org/drawingml/2006/picture">
                <pic:pic>
                  <pic:nvPicPr>
                    <pic:cNvPr descr="image/2.png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Простейшие арифметические операции</w:t>
      </w:r>
    </w:p>
    <w:bookmarkEnd w:id="20"/>
    <w:bookmarkStart w:id="24" w:name="fig:003"/>
    <w:p>
      <w:pPr>
        <w:pStyle w:val="CaptionedFigure"/>
      </w:pPr>
      <w:r>
        <w:drawing>
          <wp:inline>
            <wp:extent cx="3733800" cy="1725215"/>
            <wp:effectExtent b="0" l="0" r="0" t="0"/>
            <wp:docPr descr="Рис. 3: Пример получения информации по функции" title="" id="22" name="Picture"/>
            <a:graphic>
              <a:graphicData uri="http://schemas.openxmlformats.org/drawingml/2006/picture">
                <pic:pic>
                  <pic:nvPicPr>
                    <pic:cNvPr descr="image/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 получения информации по функции</w:t>
      </w:r>
    </w:p>
    <w:bookmarkEnd w:id="24"/>
    <w:bookmarkStart w:id="28" w:name="fig:004"/>
    <w:p>
      <w:pPr>
        <w:pStyle w:val="CaptionedFigure"/>
      </w:pPr>
      <w:r>
        <w:drawing>
          <wp:inline>
            <wp:extent cx="3733800" cy="1738724"/>
            <wp:effectExtent b="0" l="0" r="0" t="0"/>
            <wp:docPr descr="Рис. 4: Примеры определения типа числовых величин" title="" id="26" name="Picture"/>
            <a:graphic>
              <a:graphicData uri="http://schemas.openxmlformats.org/drawingml/2006/picture">
                <pic:pic>
                  <pic:nvPicPr>
                    <pic:cNvPr descr="image/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Примеры определения типа числовых величин</w:t>
      </w:r>
    </w:p>
    <w:bookmarkEnd w:id="28"/>
    <w:bookmarkStart w:id="32" w:name="fig:005"/>
    <w:p>
      <w:pPr>
        <w:pStyle w:val="CaptionedFigure"/>
      </w:pPr>
      <w:r>
        <w:drawing>
          <wp:inline>
            <wp:extent cx="3733800" cy="886777"/>
            <wp:effectExtent b="0" l="0" r="0" t="0"/>
            <wp:docPr descr="Рис. 5: Примеры приведения аргументов к одному типу" title="" id="30" name="Picture"/>
            <a:graphic>
              <a:graphicData uri="http://schemas.openxmlformats.org/drawingml/2006/picture">
                <pic:pic>
                  <pic:nvPicPr>
                    <pic:cNvPr descr="image/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Примеры приведения аргументов к одному типу</w:t>
      </w:r>
    </w:p>
    <w:bookmarkEnd w:id="32"/>
    <w:bookmarkStart w:id="36" w:name="fig:006"/>
    <w:p>
      <w:pPr>
        <w:pStyle w:val="CaptionedFigure"/>
      </w:pPr>
      <w:r>
        <w:drawing>
          <wp:inline>
            <wp:extent cx="3733800" cy="1467174"/>
            <wp:effectExtent b="0" l="0" r="0" t="0"/>
            <wp:docPr descr="Рис. 6: Примеры определения функций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Примеры определения функций</w:t>
      </w:r>
    </w:p>
    <w:bookmarkEnd w:id="36"/>
    <w:bookmarkStart w:id="40" w:name="fig:007"/>
    <w:p>
      <w:pPr>
        <w:pStyle w:val="CaptionedFigure"/>
      </w:pPr>
      <w:r>
        <w:drawing>
          <wp:inline>
            <wp:extent cx="3733800" cy="1907751"/>
            <wp:effectExtent b="0" l="0" r="0" t="0"/>
            <wp:docPr descr="Рис. 7: Примеры работы с массивами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 работы с массивами</w:t>
      </w:r>
    </w:p>
    <w:bookmarkEnd w:id="40"/>
    <w:bookmarkStart w:id="44" w:name="fig:008"/>
    <w:p>
      <w:pPr>
        <w:pStyle w:val="CaptionedFigure"/>
      </w:pPr>
      <w:r>
        <w:drawing>
          <wp:inline>
            <wp:extent cx="3733800" cy="2294316"/>
            <wp:effectExtent b="0" l="0" r="0" t="0"/>
            <wp:docPr descr="Рис. 8: Примеры работы с массивами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Примеры работы с массивами</w:t>
      </w:r>
    </w:p>
    <w:bookmarkEnd w:id="44"/>
    <w:bookmarkStart w:id="97" w:name="основные-функции-juli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Основные функции Julia</w:t>
      </w:r>
    </w:p>
    <w:p>
      <w:pPr>
        <w:pStyle w:val="FirstParagraph"/>
      </w:pPr>
      <w:r>
        <w:t xml:space="preserve">Изучила документацию по функции</w:t>
      </w:r>
      <w:r>
        <w:t xml:space="preserve"> </w:t>
      </w:r>
      <w:r>
        <w:rPr>
          <w:rStyle w:val="VerbatimChar"/>
        </w:rPr>
        <w:t xml:space="preserve">read()</w:t>
      </w:r>
      <w:r>
        <w:t xml:space="preserve">. (рис. 9).</w:t>
      </w:r>
    </w:p>
    <w:bookmarkStart w:id="48" w:name="fig:009"/>
    <w:p>
      <w:pPr>
        <w:pStyle w:val="CaptionedFigure"/>
      </w:pPr>
      <w:r>
        <w:drawing>
          <wp:inline>
            <wp:extent cx="3733800" cy="2729682"/>
            <wp:effectExtent b="0" l="0" r="0" t="0"/>
            <wp:docPr descr="Рис. 9: Функция read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Функция read</w:t>
      </w:r>
    </w:p>
    <w:bookmarkEnd w:id="48"/>
    <w:p>
      <w:pPr>
        <w:pStyle w:val="BodyText"/>
      </w:pPr>
      <w:r>
        <w:t xml:space="preserve">Примеры использования функции</w:t>
      </w:r>
      <w:r>
        <w:t xml:space="preserve"> </w:t>
      </w:r>
      <w:r>
        <w:rPr>
          <w:rStyle w:val="VerbatimChar"/>
        </w:rPr>
        <w:t xml:space="preserve">read()</w:t>
      </w:r>
      <w:r>
        <w:t xml:space="preserve">. (рис. 10).</w:t>
      </w:r>
    </w:p>
    <w:bookmarkStart w:id="52" w:name="fig:010"/>
    <w:p>
      <w:pPr>
        <w:pStyle w:val="CaptionedFigure"/>
      </w:pPr>
      <w:r>
        <w:drawing>
          <wp:inline>
            <wp:extent cx="3733800" cy="4277699"/>
            <wp:effectExtent b="0" l="0" r="0" t="0"/>
            <wp:docPr descr="Рис. 10: Примеры с функцией rea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7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Примеры с функцией read</w:t>
      </w:r>
    </w:p>
    <w:bookmarkEnd w:id="52"/>
    <w:p>
      <w:pPr>
        <w:pStyle w:val="BodyText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read()</w:t>
      </w:r>
      <w:r>
        <w:t xml:space="preserve"> </w:t>
      </w:r>
      <w:r>
        <w:t xml:space="preserve">читает содержимое файла или потока целиком в виде массива байт или другого типа, если его задать. Читает содержимое в одну строку, без переноса, с разделителями.</w:t>
      </w:r>
    </w:p>
    <w:p>
      <w:pPr>
        <w:pStyle w:val="BodyText"/>
      </w:pPr>
      <w:r>
        <w:t xml:space="preserve">Изучила документацию по функции</w:t>
      </w:r>
      <w:r>
        <w:t xml:space="preserve"> </w:t>
      </w:r>
      <w:r>
        <w:rPr>
          <w:rStyle w:val="VerbatimChar"/>
        </w:rPr>
        <w:t xml:space="preserve">readline()</w:t>
      </w:r>
      <w:r>
        <w:t xml:space="preserve">. (рис. 11).</w:t>
      </w:r>
    </w:p>
    <w:bookmarkStart w:id="56" w:name="fig:011"/>
    <w:p>
      <w:pPr>
        <w:pStyle w:val="CaptionedFigure"/>
      </w:pPr>
      <w:r>
        <w:drawing>
          <wp:inline>
            <wp:extent cx="3733800" cy="2018534"/>
            <wp:effectExtent b="0" l="0" r="0" t="0"/>
            <wp:docPr descr="Рис. 11: Функция readline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Функция readline</w:t>
      </w:r>
    </w:p>
    <w:bookmarkEnd w:id="56"/>
    <w:p>
      <w:pPr>
        <w:pStyle w:val="BodyText"/>
      </w:pPr>
      <w:r>
        <w:t xml:space="preserve">Примеры использования функции</w:t>
      </w:r>
      <w:r>
        <w:t xml:space="preserve"> </w:t>
      </w:r>
      <w:r>
        <w:rPr>
          <w:rStyle w:val="VerbatimChar"/>
        </w:rPr>
        <w:t xml:space="preserve">readline()</w:t>
      </w:r>
      <w:r>
        <w:t xml:space="preserve">. (рис. 12).</w:t>
      </w:r>
    </w:p>
    <w:bookmarkStart w:id="60" w:name="fig:012"/>
    <w:p>
      <w:pPr>
        <w:pStyle w:val="CaptionedFigure"/>
      </w:pPr>
      <w:r>
        <w:drawing>
          <wp:inline>
            <wp:extent cx="3733800" cy="458631"/>
            <wp:effectExtent b="0" l="0" r="0" t="0"/>
            <wp:docPr descr="Рис. 12: Примеры с функцией readline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 с функцией readline</w:t>
      </w:r>
    </w:p>
    <w:bookmarkEnd w:id="60"/>
    <w:p>
      <w:pPr>
        <w:pStyle w:val="BodyText"/>
      </w:pPr>
      <w:r>
        <w:t xml:space="preserve">Эта функция читает одну строку из файла или потока. При достижении конца файла выбрасывает исключение.</w:t>
      </w:r>
    </w:p>
    <w:p>
      <w:pPr>
        <w:pStyle w:val="BodyText"/>
      </w:pPr>
      <w:r>
        <w:t xml:space="preserve">Изучила документацию по функции</w:t>
      </w:r>
      <w:r>
        <w:t xml:space="preserve"> </w:t>
      </w:r>
      <w:r>
        <w:rPr>
          <w:rStyle w:val="VerbatimChar"/>
        </w:rPr>
        <w:t xml:space="preserve">readlines()</w:t>
      </w:r>
      <w:r>
        <w:t xml:space="preserve">. Примеры использования функции</w:t>
      </w:r>
      <w:r>
        <w:t xml:space="preserve"> </w:t>
      </w:r>
      <w:r>
        <w:rPr>
          <w:rStyle w:val="VerbatimChar"/>
        </w:rPr>
        <w:t xml:space="preserve">readlines()</w:t>
      </w:r>
      <w:r>
        <w:t xml:space="preserve">. (рис. 13).</w:t>
      </w:r>
    </w:p>
    <w:bookmarkStart w:id="64" w:name="fig:013"/>
    <w:p>
      <w:pPr>
        <w:pStyle w:val="CaptionedFigure"/>
      </w:pPr>
      <w:r>
        <w:drawing>
          <wp:inline>
            <wp:extent cx="3733800" cy="1873228"/>
            <wp:effectExtent b="0" l="0" r="0" t="0"/>
            <wp:docPr descr="Рис. 13: Функция readlines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Функция readlines</w:t>
      </w:r>
    </w:p>
    <w:bookmarkEnd w:id="64"/>
    <w:p>
      <w:pPr>
        <w:pStyle w:val="BodyText"/>
      </w:pPr>
      <w:r>
        <w:t xml:space="preserve">Эта функция читает все строки из файла и возвращает массив строк.</w:t>
      </w:r>
    </w:p>
    <w:p>
      <w:pPr>
        <w:pStyle w:val="BodyText"/>
      </w:pPr>
      <w:r>
        <w:t xml:space="preserve">Изучила документацию по функции</w:t>
      </w:r>
      <w:r>
        <w:t xml:space="preserve"> </w:t>
      </w:r>
      <w:r>
        <w:rPr>
          <w:rStyle w:val="VerbatimChar"/>
        </w:rPr>
        <w:t xml:space="preserve">readdlm()</w:t>
      </w:r>
      <w:r>
        <w:t xml:space="preserve">. (рис. 14).</w:t>
      </w:r>
    </w:p>
    <w:bookmarkStart w:id="68" w:name="fig:014"/>
    <w:p>
      <w:pPr>
        <w:pStyle w:val="CaptionedFigure"/>
      </w:pPr>
      <w:r>
        <w:drawing>
          <wp:inline>
            <wp:extent cx="3733800" cy="2903583"/>
            <wp:effectExtent b="0" l="0" r="0" t="0"/>
            <wp:docPr descr="Рис. 14: Функция readdlm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Функция readdlm</w:t>
      </w:r>
    </w:p>
    <w:bookmarkEnd w:id="68"/>
    <w:p>
      <w:pPr>
        <w:pStyle w:val="BodyText"/>
      </w:pPr>
      <w:r>
        <w:t xml:space="preserve">Примеры использования функции</w:t>
      </w:r>
      <w:r>
        <w:t xml:space="preserve"> </w:t>
      </w:r>
      <w:r>
        <w:rPr>
          <w:rStyle w:val="VerbatimChar"/>
        </w:rPr>
        <w:t xml:space="preserve">readdlm()</w:t>
      </w:r>
      <w:r>
        <w:t xml:space="preserve">. (рис. 15).</w:t>
      </w:r>
    </w:p>
    <w:bookmarkStart w:id="72" w:name="fig:015"/>
    <w:p>
      <w:pPr>
        <w:pStyle w:val="CaptionedFigure"/>
      </w:pPr>
      <w:r>
        <w:drawing>
          <wp:inline>
            <wp:extent cx="3733800" cy="1975589"/>
            <wp:effectExtent b="0" l="0" r="0" t="0"/>
            <wp:docPr descr="Рис. 15: Примеры с функцией readdlm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с функцией readdlm</w:t>
      </w:r>
    </w:p>
    <w:bookmarkEnd w:id="72"/>
    <w:p>
      <w:pPr>
        <w:pStyle w:val="BodyText"/>
      </w:pPr>
      <w:r>
        <w:t xml:space="preserve">Эта функция читает данные из файла с разделителями (delimiter), например CSV или табличные данные. Возвращает матрицу или массив.</w:t>
      </w:r>
    </w:p>
    <w:p>
      <w:pPr>
        <w:pStyle w:val="BodyText"/>
      </w:pPr>
      <w:r>
        <w:t xml:space="preserve">Примеры использования функций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println()</w:t>
      </w:r>
      <w:r>
        <w:t xml:space="preserve">. (рис. 16).</w:t>
      </w:r>
    </w:p>
    <w:bookmarkStart w:id="76" w:name="fig:016"/>
    <w:p>
      <w:pPr>
        <w:pStyle w:val="CaptionedFigure"/>
      </w:pPr>
      <w:r>
        <w:drawing>
          <wp:inline>
            <wp:extent cx="3733800" cy="913267"/>
            <wp:effectExtent b="0" l="0" r="0" t="0"/>
            <wp:docPr descr="Рис. 16: Примеры с функциями print и println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Примеры с функциями print и println</w:t>
      </w:r>
    </w:p>
    <w:bookmarkEnd w:id="76"/>
    <w:p>
      <w:pPr>
        <w:pStyle w:val="BodyText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 </w:t>
      </w:r>
      <w:r>
        <w:t xml:space="preserve">выводит данные на экран без перевода строки. A</w:t>
      </w:r>
      <w:r>
        <w:t xml:space="preserve"> </w:t>
      </w:r>
      <w:r>
        <w:rPr>
          <w:rStyle w:val="VerbatimChar"/>
        </w:rPr>
        <w:t xml:space="preserve">println()</w:t>
      </w:r>
      <w:r>
        <w:t xml:space="preserve"> </w:t>
      </w:r>
      <w:r>
        <w:t xml:space="preserve">- с переводом в конце строки.</w:t>
      </w:r>
    </w:p>
    <w:p>
      <w:pPr>
        <w:pStyle w:val="BodyText"/>
      </w:pPr>
      <w:r>
        <w:t xml:space="preserve">Изучила документацию по функции</w:t>
      </w:r>
      <w:r>
        <w:t xml:space="preserve"> </w:t>
      </w:r>
      <w:r>
        <w:rPr>
          <w:rStyle w:val="VerbatimChar"/>
        </w:rPr>
        <w:t xml:space="preserve">show()</w:t>
      </w:r>
      <w:r>
        <w:t xml:space="preserve">. (рис. 17).</w:t>
      </w:r>
    </w:p>
    <w:bookmarkStart w:id="80" w:name="fig:017"/>
    <w:p>
      <w:pPr>
        <w:pStyle w:val="CaptionedFigure"/>
      </w:pPr>
      <w:r>
        <w:drawing>
          <wp:inline>
            <wp:extent cx="3733800" cy="2113710"/>
            <wp:effectExtent b="0" l="0" r="0" t="0"/>
            <wp:docPr descr="Рис. 17: Функция show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Функция show</w:t>
      </w:r>
    </w:p>
    <w:bookmarkEnd w:id="80"/>
    <w:p>
      <w:pPr>
        <w:pStyle w:val="BodyText"/>
      </w:pPr>
      <w:r>
        <w:t xml:space="preserve">Примеры использования функции</w:t>
      </w:r>
      <w:r>
        <w:t xml:space="preserve"> </w:t>
      </w:r>
      <w:r>
        <w:rPr>
          <w:rStyle w:val="VerbatimChar"/>
        </w:rPr>
        <w:t xml:space="preserve">show()</w:t>
      </w:r>
      <w:r>
        <w:t xml:space="preserve">. (рис. 18).</w:t>
      </w:r>
    </w:p>
    <w:bookmarkStart w:id="84" w:name="fig:018"/>
    <w:p>
      <w:pPr>
        <w:pStyle w:val="CaptionedFigure"/>
      </w:pPr>
      <w:r>
        <w:drawing>
          <wp:inline>
            <wp:extent cx="3733800" cy="615307"/>
            <wp:effectExtent b="0" l="0" r="0" t="0"/>
            <wp:docPr descr="Рис. 18: Примеры с функцией show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Примеры с функцией show</w:t>
      </w:r>
    </w:p>
    <w:bookmarkEnd w:id="84"/>
    <w:p>
      <w:pPr>
        <w:pStyle w:val="BodyText"/>
      </w:pPr>
      <w:r>
        <w:t xml:space="preserve">Эта функция выводит данные в более</w:t>
      </w:r>
      <w:r>
        <w:t xml:space="preserve"> </w:t>
      </w:r>
      <w:r>
        <w:t xml:space="preserve">“сыром”</w:t>
      </w:r>
      <w:r>
        <w:t xml:space="preserve"> </w:t>
      </w:r>
      <w:r>
        <w:t xml:space="preserve">или структурированном виде. Часто используется для вывода объектов с отображением их внутреннего представления.</w:t>
      </w:r>
    </w:p>
    <w:p>
      <w:pPr>
        <w:pStyle w:val="BodyText"/>
      </w:pPr>
      <w:r>
        <w:t xml:space="preserve">Изучила документацию по функции</w:t>
      </w:r>
      <w:r>
        <w:t xml:space="preserve"> </w:t>
      </w:r>
      <w:r>
        <w:rPr>
          <w:rStyle w:val="VerbatimChar"/>
        </w:rPr>
        <w:t xml:space="preserve">write()</w:t>
      </w:r>
      <w:r>
        <w:t xml:space="preserve">. (рис. 19).</w:t>
      </w:r>
    </w:p>
    <w:bookmarkStart w:id="88" w:name="fig:019"/>
    <w:p>
      <w:pPr>
        <w:pStyle w:val="CaptionedFigure"/>
      </w:pPr>
      <w:r>
        <w:drawing>
          <wp:inline>
            <wp:extent cx="3733800" cy="1323742"/>
            <wp:effectExtent b="0" l="0" r="0" t="0"/>
            <wp:docPr descr="Рис. 19: Функция write" title="" id="86" name="Picture"/>
            <a:graphic>
              <a:graphicData uri="http://schemas.openxmlformats.org/drawingml/2006/picture">
                <pic:pic>
                  <pic:nvPicPr>
                    <pic:cNvPr descr="image/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Функция write</w:t>
      </w:r>
    </w:p>
    <w:bookmarkEnd w:id="88"/>
    <w:p>
      <w:pPr>
        <w:pStyle w:val="BodyText"/>
      </w:pPr>
      <w:r>
        <w:t xml:space="preserve">Примеры использования функции</w:t>
      </w:r>
      <w:r>
        <w:t xml:space="preserve"> </w:t>
      </w:r>
      <w:r>
        <w:rPr>
          <w:rStyle w:val="VerbatimChar"/>
        </w:rPr>
        <w:t xml:space="preserve">write()</w:t>
      </w:r>
      <w:r>
        <w:t xml:space="preserve">. (рис. 20-21).</w:t>
      </w:r>
    </w:p>
    <w:bookmarkStart w:id="92" w:name="fig:020"/>
    <w:p>
      <w:pPr>
        <w:pStyle w:val="CaptionedFigure"/>
      </w:pPr>
      <w:r>
        <w:drawing>
          <wp:inline>
            <wp:extent cx="3733800" cy="1206023"/>
            <wp:effectExtent b="0" l="0" r="0" t="0"/>
            <wp:docPr descr="Рис. 20: Примеры с функцией write" title="" id="90" name="Picture"/>
            <a:graphic>
              <a:graphicData uri="http://schemas.openxmlformats.org/drawingml/2006/picture">
                <pic:pic>
                  <pic:nvPicPr>
                    <pic:cNvPr descr="image/2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Примеры с функцией write</w:t>
      </w:r>
    </w:p>
    <w:bookmarkEnd w:id="92"/>
    <w:bookmarkStart w:id="96" w:name="fig:021"/>
    <w:p>
      <w:pPr>
        <w:pStyle w:val="CaptionedFigure"/>
      </w:pPr>
      <w:r>
        <w:drawing>
          <wp:inline>
            <wp:extent cx="3733800" cy="583800"/>
            <wp:effectExtent b="0" l="0" r="0" t="0"/>
            <wp:docPr descr="Рис. 21: Примеры с функцией write" title="" id="94" name="Picture"/>
            <a:graphic>
              <a:graphicData uri="http://schemas.openxmlformats.org/drawingml/2006/picture">
                <pic:pic>
                  <pic:nvPicPr>
                    <pic:cNvPr descr="image/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Примеры с функцией write</w:t>
      </w:r>
    </w:p>
    <w:bookmarkEnd w:id="96"/>
    <w:p>
      <w:pPr>
        <w:pStyle w:val="BodyText"/>
      </w:pPr>
      <w:r>
        <w:t xml:space="preserve">Эта функция записывает байты или данные в файл или поток, не добавляет перевод строки, не форматирует данные.</w:t>
      </w:r>
    </w:p>
    <w:bookmarkEnd w:id="97"/>
    <w:bookmarkStart w:id="106" w:name="функция-pars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Функция parse()</w:t>
      </w:r>
    </w:p>
    <w:p>
      <w:pPr>
        <w:pStyle w:val="FirstParagraph"/>
      </w:pPr>
      <w:r>
        <w:t xml:space="preserve">Изучила документацию функции</w:t>
      </w:r>
      <w:r>
        <w:t xml:space="preserve"> </w:t>
      </w:r>
      <w:r>
        <w:rPr>
          <w:rStyle w:val="VerbatimChar"/>
        </w:rPr>
        <w:t xml:space="preserve">parse()</w:t>
      </w:r>
      <w:r>
        <w:t xml:space="preserve">.(рис. 22).</w:t>
      </w:r>
    </w:p>
    <w:bookmarkStart w:id="101" w:name="fig:022"/>
    <w:p>
      <w:pPr>
        <w:pStyle w:val="CaptionedFigure"/>
      </w:pPr>
      <w:r>
        <w:drawing>
          <wp:inline>
            <wp:extent cx="3733800" cy="1073265"/>
            <wp:effectExtent b="0" l="0" r="0" t="0"/>
            <wp:docPr descr="Рис. 22: Функция parse" title="" id="99" name="Picture"/>
            <a:graphic>
              <a:graphicData uri="http://schemas.openxmlformats.org/drawingml/2006/picture">
                <pic:pic>
                  <pic:nvPicPr>
                    <pic:cNvPr descr="image/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Функция parse</w:t>
      </w:r>
    </w:p>
    <w:bookmarkEnd w:id="101"/>
    <w:p>
      <w:pPr>
        <w:pStyle w:val="BodyText"/>
      </w:pPr>
      <w:r>
        <w:t xml:space="preserve">Привела свои примеры её использования. (рис. 23).</w:t>
      </w:r>
    </w:p>
    <w:bookmarkStart w:id="105" w:name="fig:023"/>
    <w:p>
      <w:pPr>
        <w:pStyle w:val="CaptionedFigure"/>
      </w:pPr>
      <w:r>
        <w:drawing>
          <wp:inline>
            <wp:extent cx="3733800" cy="2060352"/>
            <wp:effectExtent b="0" l="0" r="0" t="0"/>
            <wp:docPr descr="Рис. 23: Использование функции parse" title="" id="103" name="Picture"/>
            <a:graphic>
              <a:graphicData uri="http://schemas.openxmlformats.org/drawingml/2006/picture">
                <pic:pic>
                  <pic:nvPicPr>
                    <pic:cNvPr descr="image/2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Использование функции parse</w:t>
      </w:r>
    </w:p>
    <w:bookmarkEnd w:id="105"/>
    <w:p>
      <w:pPr>
        <w:pStyle w:val="BodyText"/>
      </w:pPr>
      <w:r>
        <w:t xml:space="preserve">Функция ёparse()ё в Julia используется для преобразования строки (String) в значение указанного типа. Это удобно, когда нужно конвертировать текстовые данные в числа, логические значения и другие типы.</w:t>
      </w:r>
    </w:p>
    <w:bookmarkEnd w:id="106"/>
    <w:bookmarkStart w:id="143" w:name="базовые-математические-операции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Базовые математические операции</w:t>
      </w:r>
    </w:p>
    <w:p>
      <w:pPr>
        <w:pStyle w:val="FirstParagraph"/>
      </w:pPr>
      <w:r>
        <w:t xml:space="preserve">Изучила синтаксис Julia для базовых математических операций с разным типом переменных: сложение, вычитание, умножение, деление, возведение в степень, извлечение корня, сравнение, логические операции. Привела примеры с пояснениями по особенностям их применения: (рис. 24-32)</w:t>
      </w:r>
    </w:p>
    <w:bookmarkStart w:id="110" w:name="fig:024"/>
    <w:p>
      <w:pPr>
        <w:pStyle w:val="CaptionedFigure"/>
      </w:pPr>
      <w:r>
        <w:drawing>
          <wp:inline>
            <wp:extent cx="3733800" cy="2248345"/>
            <wp:effectExtent b="0" l="0" r="0" t="0"/>
            <wp:docPr descr="Рис. 24: Примеры для сложения" title="" id="108" name="Picture"/>
            <a:graphic>
              <a:graphicData uri="http://schemas.openxmlformats.org/drawingml/2006/picture">
                <pic:pic>
                  <pic:nvPicPr>
                    <pic:cNvPr descr="image/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Примеры для сложения</w:t>
      </w:r>
    </w:p>
    <w:bookmarkEnd w:id="110"/>
    <w:bookmarkStart w:id="114" w:name="fig:025"/>
    <w:p>
      <w:pPr>
        <w:pStyle w:val="CaptionedFigure"/>
      </w:pPr>
      <w:r>
        <w:drawing>
          <wp:inline>
            <wp:extent cx="3733800" cy="1314655"/>
            <wp:effectExtent b="0" l="0" r="0" t="0"/>
            <wp:docPr descr="Рис. 25: Примеры для сложения" title="" id="112" name="Picture"/>
            <a:graphic>
              <a:graphicData uri="http://schemas.openxmlformats.org/drawingml/2006/picture">
                <pic:pic>
                  <pic:nvPicPr>
                    <pic:cNvPr descr="image/2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Примеры для сложения</w:t>
      </w:r>
    </w:p>
    <w:bookmarkEnd w:id="114"/>
    <w:bookmarkStart w:id="118" w:name="fig:026"/>
    <w:p>
      <w:pPr>
        <w:pStyle w:val="CaptionedFigure"/>
      </w:pPr>
      <w:r>
        <w:drawing>
          <wp:inline>
            <wp:extent cx="3733800" cy="1466059"/>
            <wp:effectExtent b="0" l="0" r="0" t="0"/>
            <wp:docPr descr="Рис. 26: Примеры для вычитания" title="" id="116" name="Picture"/>
            <a:graphic>
              <a:graphicData uri="http://schemas.openxmlformats.org/drawingml/2006/picture">
                <pic:pic>
                  <pic:nvPicPr>
                    <pic:cNvPr descr="image/2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Примеры для вычитания</w:t>
      </w:r>
    </w:p>
    <w:bookmarkEnd w:id="118"/>
    <w:bookmarkStart w:id="122" w:name="fig:027"/>
    <w:p>
      <w:pPr>
        <w:pStyle w:val="CaptionedFigure"/>
      </w:pPr>
      <w:r>
        <w:drawing>
          <wp:inline>
            <wp:extent cx="3733800" cy="2961931"/>
            <wp:effectExtent b="0" l="0" r="0" t="0"/>
            <wp:docPr descr="Рис. 27: Примеры для умножения" title="" id="120" name="Picture"/>
            <a:graphic>
              <a:graphicData uri="http://schemas.openxmlformats.org/drawingml/2006/picture">
                <pic:pic>
                  <pic:nvPicPr>
                    <pic:cNvPr descr="image/27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Примеры для умножения</w:t>
      </w:r>
    </w:p>
    <w:bookmarkEnd w:id="122"/>
    <w:bookmarkStart w:id="126" w:name="fig:028"/>
    <w:p>
      <w:pPr>
        <w:pStyle w:val="CaptionedFigure"/>
      </w:pPr>
      <w:r>
        <w:drawing>
          <wp:inline>
            <wp:extent cx="3733800" cy="2511083"/>
            <wp:effectExtent b="0" l="0" r="0" t="0"/>
            <wp:docPr descr="Рис. 28: Примеры для деления" title="" id="124" name="Picture"/>
            <a:graphic>
              <a:graphicData uri="http://schemas.openxmlformats.org/drawingml/2006/picture">
                <pic:pic>
                  <pic:nvPicPr>
                    <pic:cNvPr descr="image/28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Примеры для деления</w:t>
      </w:r>
    </w:p>
    <w:bookmarkEnd w:id="126"/>
    <w:bookmarkStart w:id="130" w:name="fig:029"/>
    <w:p>
      <w:pPr>
        <w:pStyle w:val="CaptionedFigure"/>
      </w:pPr>
      <w:r>
        <w:drawing>
          <wp:inline>
            <wp:extent cx="3733800" cy="2036618"/>
            <wp:effectExtent b="0" l="0" r="0" t="0"/>
            <wp:docPr descr="Рис. 29: Примеры для возведения в степень" title="" id="128" name="Picture"/>
            <a:graphic>
              <a:graphicData uri="http://schemas.openxmlformats.org/drawingml/2006/picture">
                <pic:pic>
                  <pic:nvPicPr>
                    <pic:cNvPr descr="image/29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Примеры для возведения в степень</w:t>
      </w:r>
    </w:p>
    <w:bookmarkEnd w:id="130"/>
    <w:bookmarkStart w:id="134" w:name="fig:030"/>
    <w:p>
      <w:pPr>
        <w:pStyle w:val="CaptionedFigure"/>
      </w:pPr>
      <w:r>
        <w:drawing>
          <wp:inline>
            <wp:extent cx="3733800" cy="1946599"/>
            <wp:effectExtent b="0" l="0" r="0" t="0"/>
            <wp:docPr descr="Рис. 30: Примеры для извлечения корня" title="" id="132" name="Picture"/>
            <a:graphic>
              <a:graphicData uri="http://schemas.openxmlformats.org/drawingml/2006/picture">
                <pic:pic>
                  <pic:nvPicPr>
                    <pic:cNvPr descr="image/30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Примеры для извлечения корня</w:t>
      </w:r>
    </w:p>
    <w:bookmarkEnd w:id="134"/>
    <w:bookmarkStart w:id="138" w:name="fig:031"/>
    <w:p>
      <w:pPr>
        <w:pStyle w:val="CaptionedFigure"/>
      </w:pPr>
      <w:r>
        <w:drawing>
          <wp:inline>
            <wp:extent cx="3733800" cy="3001332"/>
            <wp:effectExtent b="0" l="0" r="0" t="0"/>
            <wp:docPr descr="Рис. 31: Примеры для сравнения" title="" id="136" name="Picture"/>
            <a:graphic>
              <a:graphicData uri="http://schemas.openxmlformats.org/drawingml/2006/picture">
                <pic:pic>
                  <pic:nvPicPr>
                    <pic:cNvPr descr="image/3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Примеры для сравнения</w:t>
      </w:r>
    </w:p>
    <w:bookmarkEnd w:id="138"/>
    <w:bookmarkStart w:id="142" w:name="fig:032"/>
    <w:p>
      <w:pPr>
        <w:pStyle w:val="CaptionedFigure"/>
      </w:pPr>
      <w:r>
        <w:drawing>
          <wp:inline>
            <wp:extent cx="3733800" cy="2837688"/>
            <wp:effectExtent b="0" l="0" r="0" t="0"/>
            <wp:docPr descr="Рис. 32: Примеры для логических операций" title="" id="140" name="Picture"/>
            <a:graphic>
              <a:graphicData uri="http://schemas.openxmlformats.org/drawingml/2006/picture">
                <pic:pic>
                  <pic:nvPicPr>
                    <pic:cNvPr descr="image/32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Примеры для логических операций</w:t>
      </w:r>
    </w:p>
    <w:bookmarkEnd w:id="142"/>
    <w:bookmarkEnd w:id="143"/>
    <w:bookmarkStart w:id="172" w:name="операции-над-матрицами-и-векторами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Операции над матрицами и векторами</w:t>
      </w:r>
    </w:p>
    <w:p>
      <w:pPr>
        <w:pStyle w:val="FirstParagraph"/>
      </w:pPr>
      <w:r>
        <w:t xml:space="preserve">Определила две матрицы и два вектора (вектор-строка и вектор-столбец).(рис. 33)</w:t>
      </w:r>
    </w:p>
    <w:bookmarkStart w:id="147" w:name="fig:033"/>
    <w:p>
      <w:pPr>
        <w:pStyle w:val="CaptionedFigure"/>
      </w:pPr>
      <w:r>
        <w:drawing>
          <wp:inline>
            <wp:extent cx="3733800" cy="3061475"/>
            <wp:effectExtent b="0" l="0" r="0" t="0"/>
            <wp:docPr descr="Рис. 33: Определение матриц и векторов" title="" id="145" name="Picture"/>
            <a:graphic>
              <a:graphicData uri="http://schemas.openxmlformats.org/drawingml/2006/picture">
                <pic:pic>
                  <pic:nvPicPr>
                    <pic:cNvPr descr="image/33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Определение матриц и векторов</w:t>
      </w:r>
    </w:p>
    <w:bookmarkEnd w:id="147"/>
    <w:p>
      <w:pPr>
        <w:pStyle w:val="BodyText"/>
      </w:pPr>
      <w:r>
        <w:t xml:space="preserve">Привела примеры с пояснениями с операциями над матрицами</w:t>
      </w:r>
      <w:r>
        <w:t xml:space="preserve"> </w:t>
      </w:r>
      <w:r>
        <w:t xml:space="preserve">и векторами: сложение, вычитание, скалярное произведение, транспонирование, умножение на скаляр (рис. 34-39)</w:t>
      </w:r>
    </w:p>
    <w:bookmarkStart w:id="151" w:name="fig:034"/>
    <w:p>
      <w:pPr>
        <w:pStyle w:val="CaptionedFigure"/>
      </w:pPr>
      <w:r>
        <w:drawing>
          <wp:inline>
            <wp:extent cx="3733800" cy="2381558"/>
            <wp:effectExtent b="0" l="0" r="0" t="0"/>
            <wp:docPr descr="Рис. 34: Примеры для сложения векторов и матриц" title="" id="149" name="Picture"/>
            <a:graphic>
              <a:graphicData uri="http://schemas.openxmlformats.org/drawingml/2006/picture">
                <pic:pic>
                  <pic:nvPicPr>
                    <pic:cNvPr descr="image/34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Примеры для сложения векторов и матриц</w:t>
      </w:r>
    </w:p>
    <w:bookmarkEnd w:id="151"/>
    <w:bookmarkStart w:id="155" w:name="fig:035"/>
    <w:p>
      <w:pPr>
        <w:pStyle w:val="CaptionedFigure"/>
      </w:pPr>
      <w:r>
        <w:drawing>
          <wp:inline>
            <wp:extent cx="3733800" cy="2933699"/>
            <wp:effectExtent b="0" l="0" r="0" t="0"/>
            <wp:docPr descr="Рис. 35: Примеры для вычитания векторов и матриц" title="" id="153" name="Picture"/>
            <a:graphic>
              <a:graphicData uri="http://schemas.openxmlformats.org/drawingml/2006/picture">
                <pic:pic>
                  <pic:nvPicPr>
                    <pic:cNvPr descr="image/3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Примеры для вычитания векторов и матриц</w:t>
      </w:r>
    </w:p>
    <w:bookmarkEnd w:id="155"/>
    <w:bookmarkStart w:id="159" w:name="fig:036"/>
    <w:p>
      <w:pPr>
        <w:pStyle w:val="CaptionedFigure"/>
      </w:pPr>
      <w:r>
        <w:drawing>
          <wp:inline>
            <wp:extent cx="3733800" cy="2093015"/>
            <wp:effectExtent b="0" l="0" r="0" t="0"/>
            <wp:docPr descr="Рис. 36: Примеры для скалярного произведения" title="" id="157" name="Picture"/>
            <a:graphic>
              <a:graphicData uri="http://schemas.openxmlformats.org/drawingml/2006/picture">
                <pic:pic>
                  <pic:nvPicPr>
                    <pic:cNvPr descr="image/36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Примеры для скалярного произведения</w:t>
      </w:r>
    </w:p>
    <w:bookmarkEnd w:id="159"/>
    <w:bookmarkStart w:id="163" w:name="fig:037"/>
    <w:p>
      <w:pPr>
        <w:pStyle w:val="CaptionedFigure"/>
      </w:pPr>
      <w:r>
        <w:drawing>
          <wp:inline>
            <wp:extent cx="3733800" cy="3267812"/>
            <wp:effectExtent b="0" l="0" r="0" t="0"/>
            <wp:docPr descr="Рис. 37: Примеры для сложения транспонирования" title="" id="161" name="Picture"/>
            <a:graphic>
              <a:graphicData uri="http://schemas.openxmlformats.org/drawingml/2006/picture">
                <pic:pic>
                  <pic:nvPicPr>
                    <pic:cNvPr descr="image/3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Примеры для сложения транспонирования</w:t>
      </w:r>
    </w:p>
    <w:bookmarkEnd w:id="163"/>
    <w:bookmarkStart w:id="167" w:name="fig:038"/>
    <w:p>
      <w:pPr>
        <w:pStyle w:val="CaptionedFigure"/>
      </w:pPr>
      <w:r>
        <w:drawing>
          <wp:inline>
            <wp:extent cx="3733800" cy="1945936"/>
            <wp:effectExtent b="0" l="0" r="0" t="0"/>
            <wp:docPr descr="Рис. 38: Примеры для умножения на скаляр" title="" id="165" name="Picture"/>
            <a:graphic>
              <a:graphicData uri="http://schemas.openxmlformats.org/drawingml/2006/picture">
                <pic:pic>
                  <pic:nvPicPr>
                    <pic:cNvPr descr="image/38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Примеры для умножения на скаляр</w:t>
      </w:r>
    </w:p>
    <w:bookmarkEnd w:id="167"/>
    <w:bookmarkStart w:id="171" w:name="fig:039"/>
    <w:p>
      <w:pPr>
        <w:pStyle w:val="CaptionedFigure"/>
      </w:pPr>
      <w:r>
        <w:drawing>
          <wp:inline>
            <wp:extent cx="3733800" cy="2470986"/>
            <wp:effectExtent b="0" l="0" r="0" t="0"/>
            <wp:docPr descr="Рис. 39: Примеры для скалярного произведения" title="" id="169" name="Picture"/>
            <a:graphic>
              <a:graphicData uri="http://schemas.openxmlformats.org/drawingml/2006/picture">
                <pic:pic>
                  <pic:nvPicPr>
                    <pic:cNvPr descr="image/39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Примеры для скалярного произведения</w:t>
      </w:r>
    </w:p>
    <w:bookmarkEnd w:id="171"/>
    <w:bookmarkEnd w:id="172"/>
    <w:bookmarkEnd w:id="173"/>
    <w:bookmarkStart w:id="17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подготовила рабочее пространство и инструментарий для работы с языком программирования Julia, на простейших примерах познакомилась с основами синтаксиса Julia</w:t>
      </w:r>
    </w:p>
    <w:bookmarkEnd w:id="174"/>
    <w:bookmarkStart w:id="176" w:name="список-литературы"/>
    <w:p>
      <w:pPr>
        <w:pStyle w:val="Heading1"/>
      </w:pPr>
      <w:r>
        <w:t xml:space="preserve">Список литературы</w:t>
      </w:r>
    </w:p>
    <w:bookmarkStart w:id="175" w:name="refs"/>
    <w:bookmarkEnd w:id="175"/>
    <w:bookmarkEnd w:id="17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17" Target="media/rId17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21" Target="media/rId21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Доберштейн Алина Сергеевна</dc:creator>
  <dc:language>ru-RU</dc:language>
  <cp:keywords/>
  <dcterms:created xsi:type="dcterms:W3CDTF">2025-09-13T20:09:01Z</dcterms:created>
  <dcterms:modified xsi:type="dcterms:W3CDTF">2025-09-13T20:09:01Z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False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FreeSerif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options">
    <vt:lpwstr/>
  </property>
  <property fmtid="{D5CDD505-2E9C-101B-9397-08002B2CF9AE}" pid="64" name="monofont">
    <vt:lpwstr>FreeSerif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FreeSerif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FreeSerif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Julia. Установка и настройка. Основные принципы.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