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45318">
      <w:pPr>
        <w:spacing w:before="1440"/>
      </w:pPr>
      <w: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0</wp:posOffset>
                </wp:positionV>
                <wp:extent cx="1620520" cy="297180"/>
                <wp:effectExtent l="0" t="0" r="5080" b="7620"/>
                <wp:wrapNone/>
                <wp:docPr id="10" name="文本框 31"/>
                <wp:cNvGraphicFramePr/>
                <a:graphic xmlns:a="http://schemas.openxmlformats.org/drawingml/2006/main">
                  <a:graphicData uri="http://schemas.microsoft.com/office/word/2010/wordprocessingShape">
                    <wps:wsp>
                      <wps:cNvSpPr txBox="1"/>
                      <wps:spPr>
                        <a:xfrm>
                          <a:off x="0" y="0"/>
                          <a:ext cx="1620520" cy="297180"/>
                        </a:xfrm>
                        <a:prstGeom prst="rect">
                          <a:avLst/>
                        </a:prstGeom>
                        <a:solidFill>
                          <a:srgbClr val="FFFFFF"/>
                        </a:solidFill>
                        <a:ln>
                          <a:noFill/>
                        </a:ln>
                      </wps:spPr>
                      <wps:txbx>
                        <w:txbxContent>
                          <w:p w14:paraId="2ED3B8DE">
                            <w:pPr>
                              <w:jc w:val="left"/>
                            </w:pPr>
                            <w:r>
                              <w:rPr>
                                <w:rFonts w:hint="eastAsia"/>
                              </w:rPr>
                              <w:t>论文编号____________ ______________</w:t>
                            </w:r>
                          </w:p>
                        </w:txbxContent>
                      </wps:txbx>
                      <wps:bodyPr wrap="square" upright="1"/>
                    </wps:wsp>
                  </a:graphicData>
                </a:graphic>
              </wp:anchor>
            </w:drawing>
          </mc:Choice>
          <mc:Fallback>
            <w:pict>
              <v:shape id="文本框 31" o:spid="_x0000_s1026" o:spt="202" type="#_x0000_t202" style="position:absolute;left:0pt;margin-left:207.55pt;margin-top:0pt;height:23.4pt;width:127.6pt;z-index:251660288;mso-width-relative:page;mso-height-relative:page;" fillcolor="#FFFFFF" filled="t" stroked="f" coordsize="21600,21600" o:gfxdata="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NzW979UAAAAHAQAADwAAAAAAAAABACAAAAAiAAAAZHJzL2Rv&#10;d25yZXYueG1sUEsBAhQAFAAAAAgAh07iQIgZ1NrLAQAAhwMAAA4AAAAAAAAAAQAgAAAAJAEAAGRy&#10;cy9lMm9Eb2MueG1sUEsFBgAAAAAGAAYAWQEAAGEFAAAAAA==&#10;">
                <v:fill on="t" focussize="0,0"/>
                <v:stroke on="f"/>
                <v:imagedata o:title=""/>
                <o:lock v:ext="edit" aspectratio="f"/>
                <v:textbox>
                  <w:txbxContent>
                    <w:p w14:paraId="2ED3B8DE">
                      <w:pPr>
                        <w:jc w:val="left"/>
                      </w:pPr>
                      <w:r>
                        <w:rPr>
                          <w:rFonts w:hint="eastAsia"/>
                        </w:rPr>
                        <w:t>论文编号____________ ______________</w:t>
                      </w:r>
                    </w:p>
                  </w:txbxContent>
                </v:textbox>
              </v:shape>
            </w:pict>
          </mc:Fallback>
        </mc:AlternateContent>
      </w:r>
      <w:r>
        <w:drawing>
          <wp:anchor distT="0" distB="0" distL="114300" distR="114300" simplePos="0" relativeHeight="251659264" behindDoc="0" locked="0" layoutInCell="1" allowOverlap="0">
            <wp:simplePos x="0" y="0"/>
            <wp:positionH relativeFrom="column">
              <wp:posOffset>-59690</wp:posOffset>
            </wp:positionH>
            <wp:positionV relativeFrom="paragraph">
              <wp:posOffset>56515</wp:posOffset>
            </wp:positionV>
            <wp:extent cx="952500" cy="891540"/>
            <wp:effectExtent l="0" t="0" r="12700" b="22860"/>
            <wp:wrapSquare wrapText="bothSides"/>
            <wp:docPr id="9" name="图片 30"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descr="校徽"/>
                    <pic:cNvPicPr>
                      <a:picLocks noChangeAspect="1"/>
                    </pic:cNvPicPr>
                  </pic:nvPicPr>
                  <pic:blipFill>
                    <a:blip r:embed="rId8"/>
                    <a:stretch>
                      <a:fillRect/>
                    </a:stretch>
                  </pic:blipFill>
                  <pic:spPr>
                    <a:xfrm>
                      <a:off x="0" y="0"/>
                      <a:ext cx="952500" cy="891540"/>
                    </a:xfrm>
                    <a:prstGeom prst="rect">
                      <a:avLst/>
                    </a:prstGeom>
                    <a:noFill/>
                    <a:ln>
                      <a:noFill/>
                    </a:ln>
                  </pic:spPr>
                </pic:pic>
              </a:graphicData>
            </a:graphic>
          </wp:anchor>
        </w:drawing>
      </w:r>
    </w:p>
    <w:p w14:paraId="6C26C820">
      <w:pPr>
        <w:snapToGrid w:val="0"/>
        <w:spacing w:before="100" w:beforeAutospacing="1" w:after="100" w:afterAutospacing="1"/>
        <w:ind w:firstLine="2402" w:firstLineChars="500"/>
        <w:jc w:val="left"/>
        <w:rPr>
          <w:rFonts w:ascii="黑体" w:hAnsi="宋体" w:eastAsia="黑体"/>
          <w:b/>
          <w:sz w:val="32"/>
          <w:szCs w:val="32"/>
        </w:rPr>
      </w:pPr>
      <w:r>
        <w:rPr>
          <w:rFonts w:hint="eastAsia" w:ascii="华文中宋" w:hAnsi="华文中宋" w:eastAsia="华文中宋"/>
          <w:b/>
          <w:color w:val="3366CC"/>
          <w:sz w:val="48"/>
          <w:szCs w:val="48"/>
        </w:rPr>
        <w:t>对外经济贸易大学</w:t>
      </w:r>
    </w:p>
    <w:p w14:paraId="2E8058D6">
      <w:pPr>
        <w:snapToGrid w:val="0"/>
        <w:ind w:left="2100" w:firstLine="240" w:firstLineChars="50"/>
        <w:jc w:val="left"/>
        <w:rPr>
          <w:rFonts w:hint="eastAsia" w:ascii="华文中宋" w:hAnsi="华文中宋" w:eastAsia="华文中宋"/>
          <w:b/>
          <w:color w:val="3366CC"/>
          <w:sz w:val="48"/>
          <w:szCs w:val="48"/>
        </w:rPr>
      </w:pPr>
      <w:r>
        <w:rPr>
          <w:rFonts w:hint="eastAsia" w:ascii="华文中宋" w:hAnsi="华文中宋" w:eastAsia="华文中宋"/>
          <w:b/>
          <w:color w:val="3366CC"/>
          <w:sz w:val="48"/>
          <w:szCs w:val="48"/>
        </w:rPr>
        <w:t>高等</w:t>
      </w:r>
      <w:r>
        <w:rPr>
          <w:rFonts w:ascii="华文中宋" w:hAnsi="华文中宋" w:eastAsia="华文中宋"/>
          <w:b/>
          <w:color w:val="3366CC"/>
          <w:sz w:val="48"/>
          <w:szCs w:val="48"/>
        </w:rPr>
        <w:t>继续教育</w:t>
      </w:r>
      <w:r>
        <w:rPr>
          <w:rFonts w:hint="eastAsia" w:ascii="华文中宋" w:hAnsi="华文中宋" w:eastAsia="华文中宋"/>
          <w:b/>
          <w:color w:val="3366CC"/>
          <w:sz w:val="48"/>
          <w:szCs w:val="48"/>
        </w:rPr>
        <w:t>本科</w:t>
      </w:r>
    </w:p>
    <w:p w14:paraId="235A4391">
      <w:pPr>
        <w:snapToGrid w:val="0"/>
        <w:spacing w:line="360" w:lineRule="auto"/>
        <w:rPr>
          <w:rFonts w:ascii="黑体" w:hAnsi="宋体" w:eastAsia="黑体"/>
          <w:b/>
          <w:sz w:val="36"/>
          <w:szCs w:val="36"/>
        </w:rPr>
      </w:pPr>
    </w:p>
    <w:p w14:paraId="0A75C014">
      <w:pPr>
        <w:snapToGrid w:val="0"/>
        <w:spacing w:before="480" w:beforeLines="200" w:line="360" w:lineRule="auto"/>
        <w:jc w:val="center"/>
        <w:rPr>
          <w:rFonts w:ascii="黑体" w:eastAsia="黑体"/>
          <w:b/>
          <w:sz w:val="72"/>
          <w:szCs w:val="72"/>
        </w:rPr>
      </w:pPr>
      <w:r>
        <w:rPr>
          <w:rFonts w:hint="eastAsia" w:ascii="黑体" w:eastAsia="黑体"/>
          <w:b/>
          <w:sz w:val="72"/>
          <w:szCs w:val="72"/>
        </w:rPr>
        <w:t>毕业论文</w:t>
      </w:r>
    </w:p>
    <w:p w14:paraId="566CDFC3">
      <w:pPr>
        <w:snapToGrid w:val="0"/>
        <w:spacing w:line="360" w:lineRule="auto"/>
        <w:rPr>
          <w:rFonts w:ascii="黑体" w:eastAsia="黑体"/>
          <w:b/>
          <w:sz w:val="24"/>
        </w:rPr>
      </w:pPr>
    </w:p>
    <w:p w14:paraId="7837954B">
      <w:pPr>
        <w:snapToGrid w:val="0"/>
        <w:spacing w:line="360" w:lineRule="auto"/>
        <w:rPr>
          <w:rFonts w:ascii="黑体" w:eastAsia="黑体"/>
          <w:b/>
          <w:sz w:val="32"/>
        </w:rPr>
      </w:pPr>
    </w:p>
    <w:p w14:paraId="697E7466">
      <w:pPr>
        <w:tabs>
          <w:tab w:val="left" w:pos="8480"/>
        </w:tabs>
        <w:snapToGrid w:val="0"/>
        <w:spacing w:line="360" w:lineRule="auto"/>
        <w:jc w:val="center"/>
        <w:rPr>
          <w:rFonts w:ascii="黑体" w:eastAsia="黑体"/>
          <w:b/>
          <w:sz w:val="44"/>
          <w:szCs w:val="44"/>
        </w:rPr>
      </w:pPr>
      <w:r>
        <w:rPr>
          <w:rFonts w:hint="eastAsia" w:ascii="黑体" w:hAnsi="黑体" w:eastAsia="黑体" w:cs="黑体"/>
          <w:b/>
          <w:sz w:val="44"/>
          <w:szCs w:val="44"/>
        </w:rPr>
        <w:t>城市商业银行信用风险管理的问题及对策研究——以邯郸银行为例</w:t>
      </w:r>
    </w:p>
    <w:p w14:paraId="480AAA4C">
      <w:pPr>
        <w:snapToGrid w:val="0"/>
        <w:spacing w:line="360" w:lineRule="auto"/>
        <w:rPr>
          <w:rFonts w:hint="eastAsia" w:ascii="黑体" w:eastAsia="黑体"/>
          <w:b/>
          <w:sz w:val="32"/>
        </w:rPr>
      </w:pPr>
    </w:p>
    <w:p w14:paraId="0FA960F6">
      <w:pPr>
        <w:snapToGrid w:val="0"/>
        <w:spacing w:line="360" w:lineRule="auto"/>
        <w:rPr>
          <w:rFonts w:hint="eastAsia" w:ascii="黑体" w:eastAsia="黑体"/>
          <w:b/>
          <w:sz w:val="32"/>
        </w:rPr>
      </w:pPr>
    </w:p>
    <w:p w14:paraId="6B25F686">
      <w:pPr>
        <w:snapToGrid w:val="0"/>
        <w:spacing w:line="360" w:lineRule="auto"/>
        <w:rPr>
          <w:rFonts w:hint="eastAsia" w:ascii="黑体" w:eastAsia="黑体"/>
          <w:b/>
          <w:sz w:val="32"/>
        </w:rPr>
      </w:pPr>
    </w:p>
    <w:p w14:paraId="2DAFDE88">
      <w:pPr>
        <w:tabs>
          <w:tab w:val="left" w:pos="8480"/>
        </w:tabs>
        <w:snapToGrid w:val="0"/>
        <w:spacing w:line="360" w:lineRule="auto"/>
        <w:rPr>
          <w:rFonts w:hint="eastAsia" w:ascii="宋体" w:hAnsi="宋体"/>
          <w:b/>
          <w:sz w:val="32"/>
          <w:u w:val="single"/>
        </w:rPr>
      </w:pPr>
      <w:r>
        <w:rPr>
          <w:rFonts w:hint="eastAsia" w:ascii="宋体" w:hAnsi="宋体"/>
          <w:b/>
          <w:sz w:val="32"/>
        </w:rPr>
        <w:t xml:space="preserve">学 </w:t>
      </w:r>
      <w:r>
        <w:rPr>
          <w:rFonts w:ascii="宋体" w:hAnsi="宋体"/>
          <w:b/>
          <w:sz w:val="32"/>
        </w:rPr>
        <w:t xml:space="preserve">   </w:t>
      </w:r>
      <w:r>
        <w:rPr>
          <w:rFonts w:hint="eastAsia" w:ascii="宋体" w:hAnsi="宋体"/>
          <w:b/>
          <w:sz w:val="32"/>
        </w:rPr>
        <w:t xml:space="preserve">号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202141291004</w:t>
      </w:r>
      <w:r>
        <w:rPr>
          <w:rFonts w:ascii="宋体" w:hAnsi="宋体"/>
          <w:b/>
          <w:sz w:val="32"/>
          <w:u w:val="single"/>
        </w:rPr>
        <w:t xml:space="preserve"> </w:t>
      </w:r>
      <w:r>
        <w:rPr>
          <w:rFonts w:ascii="宋体" w:hAnsi="宋体"/>
          <w:b/>
          <w:sz w:val="32"/>
        </w:rPr>
        <w:t xml:space="preserve">   </w:t>
      </w:r>
      <w:r>
        <w:rPr>
          <w:rFonts w:hint="eastAsia" w:ascii="宋体" w:hAnsi="宋体"/>
          <w:b/>
          <w:sz w:val="32"/>
        </w:rPr>
        <w:t xml:space="preserve">姓 </w:t>
      </w:r>
      <w:r>
        <w:rPr>
          <w:rFonts w:ascii="宋体" w:hAnsi="宋体"/>
          <w:b/>
          <w:sz w:val="32"/>
        </w:rPr>
        <w:t xml:space="preserve">   </w:t>
      </w:r>
      <w:r>
        <w:rPr>
          <w:rFonts w:hint="eastAsia" w:ascii="宋体" w:hAnsi="宋体"/>
          <w:b/>
          <w:sz w:val="32"/>
        </w:rPr>
        <w:t>名</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候丽娟</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248374AB">
      <w:pPr>
        <w:tabs>
          <w:tab w:val="left" w:pos="8480"/>
        </w:tabs>
        <w:snapToGrid w:val="0"/>
        <w:spacing w:line="360" w:lineRule="auto"/>
        <w:rPr>
          <w:rFonts w:ascii="宋体" w:hAnsi="宋体"/>
          <w:b/>
          <w:sz w:val="32"/>
        </w:rPr>
      </w:pPr>
      <w:r>
        <w:rPr>
          <w:rFonts w:hint="eastAsia" w:ascii="宋体" w:hAnsi="宋体"/>
          <w:b/>
          <w:sz w:val="32"/>
        </w:rPr>
        <w:t xml:space="preserve">学习形式 </w:t>
      </w:r>
      <w:r>
        <w:rPr>
          <w:rFonts w:hint="eastAsia" w:ascii="宋体" w:hAnsi="宋体"/>
          <w:b/>
          <w:sz w:val="32"/>
          <w:u w:val="single"/>
        </w:rPr>
        <w:t xml:space="preserve">  </w:t>
      </w:r>
      <w:r>
        <w:rPr>
          <w:rFonts w:hint="eastAsia" w:ascii="宋体" w:hAnsi="宋体"/>
          <w:b/>
          <w:sz w:val="32"/>
          <w:u w:val="single"/>
          <w:lang w:val="en-US" w:eastAsia="zh-CN"/>
        </w:rPr>
        <w:t xml:space="preserve"> 函授高起本</w:t>
      </w:r>
      <w:r>
        <w:rPr>
          <w:rFonts w:ascii="宋体" w:hAnsi="宋体"/>
          <w:b/>
          <w:sz w:val="32"/>
          <w:u w:val="single"/>
        </w:rPr>
        <w:t xml:space="preserve"> </w:t>
      </w:r>
      <w:r>
        <w:rPr>
          <w:rFonts w:hint="eastAsia" w:ascii="宋体" w:hAnsi="宋体"/>
          <w:b/>
          <w:sz w:val="32"/>
          <w:u w:val="single"/>
        </w:rPr>
        <w:t xml:space="preserve"> </w:t>
      </w:r>
      <w:r>
        <w:rPr>
          <w:rFonts w:ascii="宋体" w:hAnsi="宋体"/>
          <w:b/>
          <w:sz w:val="32"/>
        </w:rPr>
        <w:t xml:space="preserve">   </w:t>
      </w:r>
      <w:r>
        <w:rPr>
          <w:rFonts w:hint="eastAsia" w:ascii="宋体" w:hAnsi="宋体"/>
          <w:b/>
          <w:sz w:val="32"/>
        </w:rPr>
        <w:t xml:space="preserve">指导教师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xzgl15</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06601E74">
      <w:pPr>
        <w:tabs>
          <w:tab w:val="left" w:pos="8480"/>
        </w:tabs>
        <w:snapToGrid w:val="0"/>
        <w:spacing w:line="360" w:lineRule="auto"/>
        <w:rPr>
          <w:rFonts w:hint="eastAsia" w:ascii="宋体" w:hAnsi="宋体"/>
          <w:b/>
          <w:sz w:val="32"/>
        </w:rPr>
      </w:pPr>
      <w:r>
        <w:rPr>
          <w:rFonts w:hint="eastAsia" w:ascii="宋体" w:hAnsi="宋体"/>
          <w:b/>
          <w:sz w:val="32"/>
        </w:rPr>
        <w:t xml:space="preserve">专 </w:t>
      </w:r>
      <w:r>
        <w:rPr>
          <w:rFonts w:ascii="宋体" w:hAnsi="宋体"/>
          <w:b/>
          <w:sz w:val="32"/>
        </w:rPr>
        <w:t xml:space="preserve">   </w:t>
      </w:r>
      <w:r>
        <w:rPr>
          <w:rFonts w:hint="eastAsia" w:ascii="宋体" w:hAnsi="宋体"/>
          <w:b/>
          <w:sz w:val="32"/>
        </w:rPr>
        <w:t xml:space="preserve">业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金融学</w:t>
      </w:r>
      <w:r>
        <w:rPr>
          <w:rFonts w:ascii="宋体" w:hAnsi="宋体"/>
          <w:b/>
          <w:sz w:val="32"/>
          <w:u w:val="single"/>
        </w:rPr>
        <w:t xml:space="preserve">     </w:t>
      </w:r>
      <w:r>
        <w:rPr>
          <w:rFonts w:ascii="宋体" w:hAnsi="宋体"/>
          <w:b/>
          <w:sz w:val="32"/>
        </w:rPr>
        <w:t xml:space="preserve">   </w:t>
      </w:r>
      <w:r>
        <w:rPr>
          <w:rFonts w:hint="eastAsia" w:ascii="宋体" w:hAnsi="宋体"/>
          <w:b/>
          <w:sz w:val="32"/>
        </w:rPr>
        <w:t>研究方向</w:t>
      </w:r>
      <w:r>
        <w:rPr>
          <w:rFonts w:ascii="宋体" w:hAnsi="宋体"/>
          <w:b/>
          <w:sz w:val="32"/>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信用风险防控</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31DADC55">
      <w:pPr>
        <w:tabs>
          <w:tab w:val="left" w:pos="8480"/>
        </w:tabs>
        <w:snapToGrid w:val="0"/>
        <w:spacing w:line="360" w:lineRule="auto"/>
        <w:rPr>
          <w:rFonts w:hint="eastAsia" w:ascii="宋体" w:hAnsi="宋体"/>
          <w:b/>
          <w:sz w:val="32"/>
        </w:rPr>
      </w:pPr>
      <w:r>
        <w:rPr>
          <w:rFonts w:hint="eastAsia" w:ascii="宋体" w:hAnsi="宋体"/>
          <w:b/>
          <w:sz w:val="32"/>
        </w:rPr>
        <w:t xml:space="preserve">完成时间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2026</w:t>
      </w:r>
      <w:r>
        <w:rPr>
          <w:rFonts w:ascii="宋体" w:hAnsi="宋体"/>
          <w:b/>
          <w:sz w:val="32"/>
          <w:u w:val="single"/>
        </w:rPr>
        <w:t xml:space="preserve">  </w:t>
      </w:r>
      <w:r>
        <w:rPr>
          <w:rFonts w:hint="eastAsia" w:ascii="宋体" w:hAnsi="宋体"/>
          <w:b/>
          <w:sz w:val="32"/>
        </w:rPr>
        <w:t xml:space="preserve">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3</w:t>
      </w:r>
      <w:r>
        <w:rPr>
          <w:rFonts w:ascii="宋体" w:hAnsi="宋体"/>
          <w:b/>
          <w:sz w:val="32"/>
          <w:u w:val="single"/>
        </w:rPr>
        <w:t xml:space="preserve"> </w:t>
      </w:r>
      <w:r>
        <w:rPr>
          <w:rFonts w:hint="eastAsia" w:ascii="宋体" w:hAnsi="宋体"/>
          <w:b/>
          <w:sz w:val="32"/>
          <w:u w:val="single"/>
        </w:rPr>
        <w:t xml:space="preserve"> </w:t>
      </w:r>
      <w:r>
        <w:rPr>
          <w:rFonts w:hint="eastAsia" w:ascii="宋体" w:hAnsi="宋体"/>
          <w:b/>
          <w:sz w:val="32"/>
        </w:rPr>
        <w:t xml:space="preserve"> 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10</w:t>
      </w:r>
      <w:r>
        <w:rPr>
          <w:rFonts w:ascii="宋体" w:hAnsi="宋体"/>
          <w:b/>
          <w:sz w:val="32"/>
          <w:u w:val="single"/>
        </w:rPr>
        <w:t xml:space="preserve">  </w:t>
      </w:r>
      <w:r>
        <w:rPr>
          <w:rFonts w:hint="eastAsia" w:ascii="宋体" w:hAnsi="宋体"/>
          <w:b/>
          <w:sz w:val="32"/>
        </w:rPr>
        <w:t>日</w:t>
      </w:r>
    </w:p>
    <w:p w14:paraId="7DB18A8A">
      <w:pPr>
        <w:jc w:val="center"/>
        <w:rPr>
          <w:rFonts w:hint="eastAsia" w:ascii="黑体" w:eastAsia="黑体"/>
          <w:sz w:val="30"/>
          <w:szCs w:val="30"/>
        </w:rPr>
        <w:sectPr>
          <w:headerReference r:id="rId5" w:type="first"/>
          <w:headerReference r:id="rId3" w:type="default"/>
          <w:footerReference r:id="rId6" w:type="default"/>
          <w:headerReference r:id="rId4" w:type="even"/>
          <w:footnotePr>
            <w:numFmt w:val="decimalEnclosedCircleChinese"/>
          </w:footnotePr>
          <w:pgSz w:w="11906" w:h="16838"/>
          <w:pgMar w:top="1440" w:right="1800" w:bottom="1440" w:left="1800" w:header="720" w:footer="720" w:gutter="0"/>
          <w:cols w:space="720" w:num="1"/>
          <w:docGrid w:linePitch="312" w:charSpace="0"/>
        </w:sectPr>
      </w:pPr>
    </w:p>
    <w:p w14:paraId="3A5A1497">
      <w:pPr>
        <w:jc w:val="center"/>
        <w:rPr>
          <w:rFonts w:hint="eastAsia" w:ascii="黑体" w:hAnsi="Times New Roman" w:eastAsia="黑体" w:cs="Times New Roman"/>
          <w:kern w:val="2"/>
          <w:sz w:val="30"/>
          <w:szCs w:val="30"/>
          <w:lang w:val="en-US" w:eastAsia="zh-CN" w:bidi="ar-SA"/>
        </w:rPr>
      </w:pPr>
      <w:r>
        <w:rPr>
          <w:rFonts w:hint="eastAsia" w:ascii="黑体" w:hAnsi="Times New Roman" w:eastAsia="黑体" w:cs="Times New Roman"/>
          <w:kern w:val="2"/>
          <w:sz w:val="30"/>
          <w:szCs w:val="30"/>
          <w:lang w:val="en-US" w:eastAsia="zh-CN" w:bidi="ar-SA"/>
        </w:rPr>
        <w:t>目  录</w:t>
      </w:r>
    </w:p>
    <w:p w14:paraId="034A0174"/>
    <w:p w14:paraId="52D4F5EB"/>
    <w:p w14:paraId="1E47F2D4">
      <w:pPr>
        <w:pStyle w:val="10"/>
        <w:tabs>
          <w:tab w:val="right" w:leader="dot" w:pos="8666"/>
        </w:tabs>
      </w:pPr>
      <w:r>
        <w:fldChar w:fldCharType="begin"/>
      </w:r>
      <w:r>
        <w:instrText xml:space="preserve">TOC \o "1-3" \h \u </w:instrText>
      </w:r>
      <w:r>
        <w:fldChar w:fldCharType="separate"/>
      </w:r>
      <w:r>
        <w:fldChar w:fldCharType="begin"/>
      </w:r>
      <w:r>
        <w:instrText xml:space="preserve"> HYPERLINK \l _Toc2134850245 </w:instrText>
      </w:r>
      <w:r>
        <w:fldChar w:fldCharType="separate"/>
      </w:r>
      <w:r>
        <w:rPr>
          <w:rFonts w:ascii="宋体" w:hAnsi="宋体" w:eastAsia="宋体" w:cs="宋体"/>
          <w:bCs/>
          <w:szCs w:val="32"/>
        </w:rPr>
        <w:t>一、引言</w:t>
      </w:r>
      <w:r>
        <w:tab/>
      </w:r>
      <w:r>
        <w:fldChar w:fldCharType="begin"/>
      </w:r>
      <w:r>
        <w:instrText xml:space="preserve"> PAGEREF _Toc2134850245 \h </w:instrText>
      </w:r>
      <w:r>
        <w:fldChar w:fldCharType="separate"/>
      </w:r>
      <w:r>
        <w:t>4</w:t>
      </w:r>
      <w:r>
        <w:fldChar w:fldCharType="end"/>
      </w:r>
      <w:r>
        <w:fldChar w:fldCharType="end"/>
      </w:r>
    </w:p>
    <w:p w14:paraId="4A2E9A70">
      <w:pPr>
        <w:pStyle w:val="12"/>
        <w:tabs>
          <w:tab w:val="right" w:leader="dot" w:pos="8666"/>
        </w:tabs>
      </w:pPr>
      <w:r>
        <w:fldChar w:fldCharType="begin"/>
      </w:r>
      <w:r>
        <w:instrText xml:space="preserve"> HYPERLINK \l _Toc271293639 </w:instrText>
      </w:r>
      <w:r>
        <w:fldChar w:fldCharType="separate"/>
      </w:r>
      <w:r>
        <w:rPr>
          <w:rFonts w:ascii="宋体" w:hAnsi="宋体" w:eastAsia="宋体" w:cs="宋体"/>
          <w:bCs/>
          <w:szCs w:val="28"/>
        </w:rPr>
        <w:t>（一）研究背景</w:t>
      </w:r>
      <w:r>
        <w:tab/>
      </w:r>
      <w:r>
        <w:fldChar w:fldCharType="begin"/>
      </w:r>
      <w:r>
        <w:instrText xml:space="preserve"> PAGEREF _Toc271293639 \h </w:instrText>
      </w:r>
      <w:r>
        <w:fldChar w:fldCharType="separate"/>
      </w:r>
      <w:r>
        <w:t>4</w:t>
      </w:r>
      <w:r>
        <w:fldChar w:fldCharType="end"/>
      </w:r>
      <w:r>
        <w:fldChar w:fldCharType="end"/>
      </w:r>
    </w:p>
    <w:p w14:paraId="38656CEA">
      <w:pPr>
        <w:pStyle w:val="12"/>
        <w:tabs>
          <w:tab w:val="right" w:leader="dot" w:pos="8666"/>
        </w:tabs>
      </w:pPr>
      <w:r>
        <w:fldChar w:fldCharType="begin"/>
      </w:r>
      <w:r>
        <w:instrText xml:space="preserve"> HYPERLINK \l _Toc524408092 </w:instrText>
      </w:r>
      <w:r>
        <w:fldChar w:fldCharType="separate"/>
      </w:r>
      <w:r>
        <w:rPr>
          <w:rFonts w:ascii="宋体" w:hAnsi="宋体" w:eastAsia="宋体" w:cs="宋体"/>
          <w:bCs/>
          <w:szCs w:val="28"/>
        </w:rPr>
        <w:t>（二）研究意义</w:t>
      </w:r>
      <w:r>
        <w:tab/>
      </w:r>
      <w:r>
        <w:fldChar w:fldCharType="begin"/>
      </w:r>
      <w:r>
        <w:instrText xml:space="preserve"> PAGEREF _Toc524408092 \h </w:instrText>
      </w:r>
      <w:r>
        <w:fldChar w:fldCharType="separate"/>
      </w:r>
      <w:r>
        <w:t>4</w:t>
      </w:r>
      <w:r>
        <w:fldChar w:fldCharType="end"/>
      </w:r>
      <w:r>
        <w:fldChar w:fldCharType="end"/>
      </w:r>
    </w:p>
    <w:p w14:paraId="237704C9">
      <w:pPr>
        <w:pStyle w:val="12"/>
        <w:tabs>
          <w:tab w:val="right" w:leader="dot" w:pos="8666"/>
        </w:tabs>
      </w:pPr>
      <w:r>
        <w:fldChar w:fldCharType="begin"/>
      </w:r>
      <w:r>
        <w:instrText xml:space="preserve"> HYPERLINK \l _Toc453914956 </w:instrText>
      </w:r>
      <w:r>
        <w:fldChar w:fldCharType="separate"/>
      </w:r>
      <w:r>
        <w:rPr>
          <w:rFonts w:ascii="宋体" w:hAnsi="宋体" w:eastAsia="宋体" w:cs="宋体"/>
          <w:bCs/>
          <w:szCs w:val="28"/>
        </w:rPr>
        <w:t>（三）文献综述</w:t>
      </w:r>
      <w:r>
        <w:tab/>
      </w:r>
      <w:r>
        <w:fldChar w:fldCharType="begin"/>
      </w:r>
      <w:r>
        <w:instrText xml:space="preserve"> PAGEREF _Toc453914956 \h </w:instrText>
      </w:r>
      <w:r>
        <w:fldChar w:fldCharType="separate"/>
      </w:r>
      <w:r>
        <w:t>5</w:t>
      </w:r>
      <w:r>
        <w:fldChar w:fldCharType="end"/>
      </w:r>
      <w:r>
        <w:fldChar w:fldCharType="end"/>
      </w:r>
    </w:p>
    <w:p w14:paraId="513B6453">
      <w:pPr>
        <w:pStyle w:val="12"/>
        <w:tabs>
          <w:tab w:val="right" w:leader="dot" w:pos="8666"/>
        </w:tabs>
      </w:pPr>
      <w:r>
        <w:fldChar w:fldCharType="begin"/>
      </w:r>
      <w:r>
        <w:instrText xml:space="preserve"> HYPERLINK \l _Toc1086751348 </w:instrText>
      </w:r>
      <w:r>
        <w:fldChar w:fldCharType="separate"/>
      </w:r>
      <w:r>
        <w:rPr>
          <w:rFonts w:ascii="宋体" w:hAnsi="宋体" w:eastAsia="宋体" w:cs="宋体"/>
          <w:bCs/>
          <w:szCs w:val="28"/>
        </w:rPr>
        <w:t>（四）相关概念</w:t>
      </w:r>
      <w:r>
        <w:tab/>
      </w:r>
      <w:r>
        <w:fldChar w:fldCharType="begin"/>
      </w:r>
      <w:r>
        <w:instrText xml:space="preserve"> PAGEREF _Toc1086751348 \h </w:instrText>
      </w:r>
      <w:r>
        <w:fldChar w:fldCharType="separate"/>
      </w:r>
      <w:r>
        <w:t>6</w:t>
      </w:r>
      <w:r>
        <w:fldChar w:fldCharType="end"/>
      </w:r>
      <w:r>
        <w:fldChar w:fldCharType="end"/>
      </w:r>
    </w:p>
    <w:p w14:paraId="73EF30DA">
      <w:pPr>
        <w:pStyle w:val="10"/>
        <w:tabs>
          <w:tab w:val="right" w:leader="dot" w:pos="8666"/>
        </w:tabs>
      </w:pPr>
      <w:r>
        <w:fldChar w:fldCharType="begin"/>
      </w:r>
      <w:r>
        <w:instrText xml:space="preserve"> HYPERLINK \l _Toc681488101 </w:instrText>
      </w:r>
      <w:r>
        <w:fldChar w:fldCharType="separate"/>
      </w:r>
      <w:r>
        <w:rPr>
          <w:rFonts w:ascii="宋体" w:hAnsi="宋体" w:eastAsia="宋体" w:cs="宋体"/>
          <w:bCs/>
          <w:szCs w:val="32"/>
        </w:rPr>
        <w:t>二、理论基础</w:t>
      </w:r>
      <w:r>
        <w:tab/>
      </w:r>
      <w:r>
        <w:fldChar w:fldCharType="begin"/>
      </w:r>
      <w:r>
        <w:instrText xml:space="preserve"> PAGEREF _Toc681488101 \h </w:instrText>
      </w:r>
      <w:r>
        <w:fldChar w:fldCharType="separate"/>
      </w:r>
      <w:r>
        <w:t>7</w:t>
      </w:r>
      <w:r>
        <w:fldChar w:fldCharType="end"/>
      </w:r>
      <w:r>
        <w:fldChar w:fldCharType="end"/>
      </w:r>
    </w:p>
    <w:p w14:paraId="0E25FFCA">
      <w:pPr>
        <w:pStyle w:val="12"/>
        <w:tabs>
          <w:tab w:val="right" w:leader="dot" w:pos="8666"/>
        </w:tabs>
      </w:pPr>
      <w:r>
        <w:fldChar w:fldCharType="begin"/>
      </w:r>
      <w:r>
        <w:instrText xml:space="preserve"> HYPERLINK \l _Toc1240224056 </w:instrText>
      </w:r>
      <w:r>
        <w:fldChar w:fldCharType="separate"/>
      </w:r>
      <w:r>
        <w:rPr>
          <w:rFonts w:ascii="宋体" w:hAnsi="宋体" w:eastAsia="宋体" w:cs="宋体"/>
          <w:bCs/>
          <w:szCs w:val="28"/>
        </w:rPr>
        <w:t>（一）信息不对称理论</w:t>
      </w:r>
      <w:r>
        <w:tab/>
      </w:r>
      <w:r>
        <w:fldChar w:fldCharType="begin"/>
      </w:r>
      <w:r>
        <w:instrText xml:space="preserve"> PAGEREF _Toc1240224056 \h </w:instrText>
      </w:r>
      <w:r>
        <w:fldChar w:fldCharType="separate"/>
      </w:r>
      <w:r>
        <w:t>7</w:t>
      </w:r>
      <w:r>
        <w:fldChar w:fldCharType="end"/>
      </w:r>
      <w:r>
        <w:fldChar w:fldCharType="end"/>
      </w:r>
    </w:p>
    <w:p w14:paraId="00971B2E">
      <w:pPr>
        <w:pStyle w:val="12"/>
        <w:tabs>
          <w:tab w:val="right" w:leader="dot" w:pos="8666"/>
        </w:tabs>
      </w:pPr>
      <w:r>
        <w:fldChar w:fldCharType="begin"/>
      </w:r>
      <w:r>
        <w:instrText xml:space="preserve"> HYPERLINK \l _Toc969431410 </w:instrText>
      </w:r>
      <w:r>
        <w:fldChar w:fldCharType="separate"/>
      </w:r>
      <w:r>
        <w:rPr>
          <w:rFonts w:ascii="宋体" w:hAnsi="宋体" w:eastAsia="宋体" w:cs="宋体"/>
          <w:bCs/>
          <w:szCs w:val="28"/>
        </w:rPr>
        <w:t>（二）全面风险管理理论</w:t>
      </w:r>
      <w:r>
        <w:tab/>
      </w:r>
      <w:r>
        <w:fldChar w:fldCharType="begin"/>
      </w:r>
      <w:r>
        <w:instrText xml:space="preserve"> PAGEREF _Toc969431410 \h </w:instrText>
      </w:r>
      <w:r>
        <w:fldChar w:fldCharType="separate"/>
      </w:r>
      <w:r>
        <w:t>7</w:t>
      </w:r>
      <w:r>
        <w:fldChar w:fldCharType="end"/>
      </w:r>
      <w:r>
        <w:fldChar w:fldCharType="end"/>
      </w:r>
    </w:p>
    <w:p w14:paraId="3C59F446">
      <w:pPr>
        <w:pStyle w:val="12"/>
        <w:tabs>
          <w:tab w:val="right" w:leader="dot" w:pos="8666"/>
        </w:tabs>
      </w:pPr>
      <w:r>
        <w:fldChar w:fldCharType="begin"/>
      </w:r>
      <w:r>
        <w:instrText xml:space="preserve"> HYPERLINK \l _Toc275278081 </w:instrText>
      </w:r>
      <w:r>
        <w:fldChar w:fldCharType="separate"/>
      </w:r>
      <w:r>
        <w:rPr>
          <w:rFonts w:ascii="宋体" w:hAnsi="宋体" w:eastAsia="宋体" w:cs="宋体"/>
          <w:bCs/>
          <w:szCs w:val="28"/>
        </w:rPr>
        <w:t>（三）巴塞尔协议（资本监管框架）</w:t>
      </w:r>
      <w:r>
        <w:tab/>
      </w:r>
      <w:r>
        <w:fldChar w:fldCharType="begin"/>
      </w:r>
      <w:r>
        <w:instrText xml:space="preserve"> PAGEREF _Toc275278081 \h </w:instrText>
      </w:r>
      <w:r>
        <w:fldChar w:fldCharType="separate"/>
      </w:r>
      <w:r>
        <w:t>7</w:t>
      </w:r>
      <w:r>
        <w:fldChar w:fldCharType="end"/>
      </w:r>
      <w:r>
        <w:fldChar w:fldCharType="end"/>
      </w:r>
    </w:p>
    <w:p w14:paraId="707AE00C">
      <w:pPr>
        <w:pStyle w:val="10"/>
        <w:tabs>
          <w:tab w:val="right" w:leader="dot" w:pos="8666"/>
        </w:tabs>
      </w:pPr>
      <w:r>
        <w:fldChar w:fldCharType="begin"/>
      </w:r>
      <w:r>
        <w:instrText xml:space="preserve"> HYPERLINK \l _Toc918931729 </w:instrText>
      </w:r>
      <w:r>
        <w:fldChar w:fldCharType="separate"/>
      </w:r>
      <w:r>
        <w:rPr>
          <w:rFonts w:ascii="宋体" w:hAnsi="宋体" w:eastAsia="宋体" w:cs="宋体"/>
          <w:bCs/>
          <w:szCs w:val="32"/>
        </w:rPr>
        <w:t>三、邯郸银行信用风险管理的现状</w:t>
      </w:r>
      <w:r>
        <w:tab/>
      </w:r>
      <w:r>
        <w:fldChar w:fldCharType="begin"/>
      </w:r>
      <w:r>
        <w:instrText xml:space="preserve"> PAGEREF _Toc918931729 \h </w:instrText>
      </w:r>
      <w:r>
        <w:fldChar w:fldCharType="separate"/>
      </w:r>
      <w:r>
        <w:t>8</w:t>
      </w:r>
      <w:r>
        <w:fldChar w:fldCharType="end"/>
      </w:r>
      <w:r>
        <w:fldChar w:fldCharType="end"/>
      </w:r>
    </w:p>
    <w:p w14:paraId="5B2C9C48">
      <w:pPr>
        <w:pStyle w:val="12"/>
        <w:tabs>
          <w:tab w:val="right" w:leader="dot" w:pos="8666"/>
        </w:tabs>
      </w:pPr>
      <w:r>
        <w:fldChar w:fldCharType="begin"/>
      </w:r>
      <w:r>
        <w:instrText xml:space="preserve"> HYPERLINK \l _Toc1930663726 </w:instrText>
      </w:r>
      <w:r>
        <w:fldChar w:fldCharType="separate"/>
      </w:r>
      <w:r>
        <w:rPr>
          <w:rFonts w:ascii="宋体" w:hAnsi="宋体" w:eastAsia="宋体" w:cs="宋体"/>
          <w:bCs/>
          <w:szCs w:val="28"/>
        </w:rPr>
        <w:t>（一）城市商业银行信用风险管理总体概况</w:t>
      </w:r>
      <w:r>
        <w:tab/>
      </w:r>
      <w:r>
        <w:fldChar w:fldCharType="begin"/>
      </w:r>
      <w:r>
        <w:instrText xml:space="preserve"> PAGEREF _Toc1930663726 \h </w:instrText>
      </w:r>
      <w:r>
        <w:fldChar w:fldCharType="separate"/>
      </w:r>
      <w:r>
        <w:t>8</w:t>
      </w:r>
      <w:r>
        <w:fldChar w:fldCharType="end"/>
      </w:r>
      <w:r>
        <w:fldChar w:fldCharType="end"/>
      </w:r>
    </w:p>
    <w:p w14:paraId="5BD4820B">
      <w:pPr>
        <w:pStyle w:val="12"/>
        <w:tabs>
          <w:tab w:val="right" w:leader="dot" w:pos="8666"/>
        </w:tabs>
      </w:pPr>
      <w:r>
        <w:fldChar w:fldCharType="begin"/>
      </w:r>
      <w:r>
        <w:instrText xml:space="preserve"> HYPERLINK \l _Toc187336712 </w:instrText>
      </w:r>
      <w:r>
        <w:fldChar w:fldCharType="separate"/>
      </w:r>
      <w:r>
        <w:rPr>
          <w:rFonts w:ascii="宋体" w:hAnsi="宋体" w:eastAsia="宋体" w:cs="宋体"/>
          <w:bCs/>
          <w:szCs w:val="28"/>
        </w:rPr>
        <w:t>（二）邯郸银行信用风险管理现状</w:t>
      </w:r>
      <w:r>
        <w:tab/>
      </w:r>
      <w:r>
        <w:fldChar w:fldCharType="begin"/>
      </w:r>
      <w:r>
        <w:instrText xml:space="preserve"> PAGEREF _Toc187336712 \h </w:instrText>
      </w:r>
      <w:r>
        <w:fldChar w:fldCharType="separate"/>
      </w:r>
      <w:r>
        <w:t>8</w:t>
      </w:r>
      <w:r>
        <w:fldChar w:fldCharType="end"/>
      </w:r>
      <w:r>
        <w:fldChar w:fldCharType="end"/>
      </w:r>
    </w:p>
    <w:p w14:paraId="65D6D3E5">
      <w:pPr>
        <w:pStyle w:val="12"/>
        <w:tabs>
          <w:tab w:val="right" w:leader="dot" w:pos="8666"/>
        </w:tabs>
      </w:pPr>
      <w:r>
        <w:fldChar w:fldCharType="begin"/>
      </w:r>
      <w:r>
        <w:instrText xml:space="preserve"> HYPERLINK \l _Toc357092082 </w:instrText>
      </w:r>
      <w:r>
        <w:fldChar w:fldCharType="separate"/>
      </w:r>
      <w:r>
        <w:rPr>
          <w:rFonts w:ascii="宋体" w:hAnsi="宋体" w:eastAsia="宋体" w:cs="宋体"/>
          <w:bCs/>
          <w:szCs w:val="28"/>
        </w:rPr>
        <w:t>（三）邯郸银行信用风险管理成效</w:t>
      </w:r>
      <w:r>
        <w:tab/>
      </w:r>
      <w:r>
        <w:fldChar w:fldCharType="begin"/>
      </w:r>
      <w:r>
        <w:instrText xml:space="preserve"> PAGEREF _Toc357092082 \h </w:instrText>
      </w:r>
      <w:r>
        <w:fldChar w:fldCharType="separate"/>
      </w:r>
      <w:r>
        <w:t>9</w:t>
      </w:r>
      <w:r>
        <w:fldChar w:fldCharType="end"/>
      </w:r>
      <w:r>
        <w:fldChar w:fldCharType="end"/>
      </w:r>
    </w:p>
    <w:p w14:paraId="0982B751">
      <w:pPr>
        <w:pStyle w:val="10"/>
        <w:tabs>
          <w:tab w:val="right" w:leader="dot" w:pos="8666"/>
        </w:tabs>
      </w:pPr>
      <w:r>
        <w:fldChar w:fldCharType="begin"/>
      </w:r>
      <w:r>
        <w:instrText xml:space="preserve"> HYPERLINK \l _Toc1577312456 </w:instrText>
      </w:r>
      <w:r>
        <w:fldChar w:fldCharType="separate"/>
      </w:r>
      <w:r>
        <w:rPr>
          <w:rFonts w:ascii="宋体" w:hAnsi="宋体" w:eastAsia="宋体" w:cs="宋体"/>
          <w:bCs/>
          <w:szCs w:val="32"/>
        </w:rPr>
        <w:t>四、邯郸银行信用风险管理存在的问题</w:t>
      </w:r>
      <w:r>
        <w:tab/>
      </w:r>
      <w:r>
        <w:fldChar w:fldCharType="begin"/>
      </w:r>
      <w:r>
        <w:instrText xml:space="preserve"> PAGEREF _Toc1577312456 \h </w:instrText>
      </w:r>
      <w:r>
        <w:fldChar w:fldCharType="separate"/>
      </w:r>
      <w:r>
        <w:t>13</w:t>
      </w:r>
      <w:r>
        <w:fldChar w:fldCharType="end"/>
      </w:r>
      <w:r>
        <w:fldChar w:fldCharType="end"/>
      </w:r>
    </w:p>
    <w:p w14:paraId="1B807EC0">
      <w:pPr>
        <w:pStyle w:val="12"/>
        <w:tabs>
          <w:tab w:val="right" w:leader="dot" w:pos="8666"/>
        </w:tabs>
      </w:pPr>
      <w:r>
        <w:fldChar w:fldCharType="begin"/>
      </w:r>
      <w:r>
        <w:instrText xml:space="preserve"> HYPERLINK \l _Toc1352309424 </w:instrText>
      </w:r>
      <w:r>
        <w:fldChar w:fldCharType="separate"/>
      </w:r>
      <w:r>
        <w:rPr>
          <w:rFonts w:ascii="宋体" w:hAnsi="宋体" w:eastAsia="宋体" w:cs="宋体"/>
          <w:bCs/>
          <w:szCs w:val="28"/>
        </w:rPr>
        <w:t>（一）信用风险管理体系与业务特点不匹配</w:t>
      </w:r>
      <w:r>
        <w:tab/>
      </w:r>
      <w:r>
        <w:fldChar w:fldCharType="begin"/>
      </w:r>
      <w:r>
        <w:instrText xml:space="preserve"> PAGEREF _Toc1352309424 \h </w:instrText>
      </w:r>
      <w:r>
        <w:fldChar w:fldCharType="separate"/>
      </w:r>
      <w:r>
        <w:t>13</w:t>
      </w:r>
      <w:r>
        <w:fldChar w:fldCharType="end"/>
      </w:r>
      <w:r>
        <w:fldChar w:fldCharType="end"/>
      </w:r>
    </w:p>
    <w:p w14:paraId="52BD4F3E">
      <w:pPr>
        <w:pStyle w:val="12"/>
        <w:tabs>
          <w:tab w:val="right" w:leader="dot" w:pos="8666"/>
        </w:tabs>
      </w:pPr>
      <w:r>
        <w:fldChar w:fldCharType="begin"/>
      </w:r>
      <w:r>
        <w:instrText xml:space="preserve"> HYPERLINK \l _Toc1445052967 </w:instrText>
      </w:r>
      <w:r>
        <w:fldChar w:fldCharType="separate"/>
      </w:r>
      <w:r>
        <w:rPr>
          <w:rFonts w:ascii="宋体" w:hAnsi="宋体" w:eastAsia="宋体" w:cs="宋体"/>
          <w:bCs/>
          <w:szCs w:val="28"/>
        </w:rPr>
        <w:t>（二）风险识别技术体系落后</w:t>
      </w:r>
      <w:r>
        <w:tab/>
      </w:r>
      <w:r>
        <w:fldChar w:fldCharType="begin"/>
      </w:r>
      <w:r>
        <w:instrText xml:space="preserve"> PAGEREF _Toc1445052967 \h </w:instrText>
      </w:r>
      <w:r>
        <w:fldChar w:fldCharType="separate"/>
      </w:r>
      <w:r>
        <w:t>14</w:t>
      </w:r>
      <w:r>
        <w:fldChar w:fldCharType="end"/>
      </w:r>
      <w:r>
        <w:fldChar w:fldCharType="end"/>
      </w:r>
    </w:p>
    <w:p w14:paraId="6574ADA2">
      <w:pPr>
        <w:pStyle w:val="12"/>
        <w:tabs>
          <w:tab w:val="right" w:leader="dot" w:pos="8666"/>
        </w:tabs>
      </w:pPr>
      <w:r>
        <w:fldChar w:fldCharType="begin"/>
      </w:r>
      <w:r>
        <w:instrText xml:space="preserve"> HYPERLINK \l _Toc1112652446 </w:instrText>
      </w:r>
      <w:r>
        <w:fldChar w:fldCharType="separate"/>
      </w:r>
      <w:r>
        <w:rPr>
          <w:rFonts w:ascii="宋体" w:hAnsi="宋体" w:eastAsia="宋体" w:cs="宋体"/>
          <w:bCs/>
          <w:szCs w:val="28"/>
        </w:rPr>
        <w:t>（三）风险管控执行机制失效</w:t>
      </w:r>
      <w:r>
        <w:tab/>
      </w:r>
      <w:r>
        <w:fldChar w:fldCharType="begin"/>
      </w:r>
      <w:r>
        <w:instrText xml:space="preserve"> PAGEREF _Toc1112652446 \h </w:instrText>
      </w:r>
      <w:r>
        <w:fldChar w:fldCharType="separate"/>
      </w:r>
      <w:r>
        <w:t>16</w:t>
      </w:r>
      <w:r>
        <w:fldChar w:fldCharType="end"/>
      </w:r>
      <w:r>
        <w:fldChar w:fldCharType="end"/>
      </w:r>
    </w:p>
    <w:p w14:paraId="3B722316">
      <w:pPr>
        <w:pStyle w:val="12"/>
        <w:tabs>
          <w:tab w:val="right" w:leader="dot" w:pos="8666"/>
        </w:tabs>
      </w:pPr>
      <w:r>
        <w:fldChar w:fldCharType="begin"/>
      </w:r>
      <w:r>
        <w:instrText xml:space="preserve"> HYPERLINK \l _Toc62061846 </w:instrText>
      </w:r>
      <w:r>
        <w:fldChar w:fldCharType="separate"/>
      </w:r>
      <w:r>
        <w:rPr>
          <w:rFonts w:ascii="宋体" w:hAnsi="宋体" w:eastAsia="宋体" w:cs="宋体"/>
          <w:bCs/>
          <w:szCs w:val="28"/>
        </w:rPr>
        <w:t>（四）人才与内控建设滞后</w:t>
      </w:r>
      <w:r>
        <w:tab/>
      </w:r>
      <w:r>
        <w:fldChar w:fldCharType="begin"/>
      </w:r>
      <w:r>
        <w:instrText xml:space="preserve"> PAGEREF _Toc62061846 \h </w:instrText>
      </w:r>
      <w:r>
        <w:fldChar w:fldCharType="separate"/>
      </w:r>
      <w:r>
        <w:t>17</w:t>
      </w:r>
      <w:r>
        <w:fldChar w:fldCharType="end"/>
      </w:r>
      <w:r>
        <w:fldChar w:fldCharType="end"/>
      </w:r>
    </w:p>
    <w:p w14:paraId="2579F665">
      <w:pPr>
        <w:pStyle w:val="10"/>
        <w:tabs>
          <w:tab w:val="right" w:leader="dot" w:pos="8666"/>
        </w:tabs>
      </w:pPr>
      <w:r>
        <w:fldChar w:fldCharType="begin"/>
      </w:r>
      <w:r>
        <w:instrText xml:space="preserve"> HYPERLINK \l _Toc1543876927 </w:instrText>
      </w:r>
      <w:r>
        <w:fldChar w:fldCharType="separate"/>
      </w:r>
      <w:r>
        <w:rPr>
          <w:rFonts w:ascii="宋体" w:hAnsi="宋体" w:eastAsia="宋体" w:cs="宋体"/>
          <w:bCs/>
          <w:szCs w:val="32"/>
        </w:rPr>
        <w:t>五、完善邯郸银行信用风险管理的对策建议</w:t>
      </w:r>
      <w:r>
        <w:tab/>
      </w:r>
      <w:r>
        <w:fldChar w:fldCharType="begin"/>
      </w:r>
      <w:r>
        <w:instrText xml:space="preserve"> PAGEREF _Toc1543876927 \h </w:instrText>
      </w:r>
      <w:r>
        <w:fldChar w:fldCharType="separate"/>
      </w:r>
      <w:r>
        <w:t>18</w:t>
      </w:r>
      <w:r>
        <w:fldChar w:fldCharType="end"/>
      </w:r>
      <w:r>
        <w:fldChar w:fldCharType="end"/>
      </w:r>
    </w:p>
    <w:p w14:paraId="7D900F13">
      <w:pPr>
        <w:pStyle w:val="12"/>
        <w:tabs>
          <w:tab w:val="right" w:leader="dot" w:pos="8666"/>
        </w:tabs>
      </w:pPr>
      <w:r>
        <w:fldChar w:fldCharType="begin"/>
      </w:r>
      <w:r>
        <w:instrText xml:space="preserve"> HYPERLINK \l _Toc2042089035 </w:instrText>
      </w:r>
      <w:r>
        <w:fldChar w:fldCharType="separate"/>
      </w:r>
      <w:r>
        <w:rPr>
          <w:rFonts w:ascii="宋体" w:hAnsi="宋体" w:eastAsia="宋体" w:cs="宋体"/>
          <w:bCs/>
          <w:szCs w:val="28"/>
        </w:rPr>
        <w:t>（一）优化信贷全流程</w:t>
      </w:r>
      <w:r>
        <w:tab/>
      </w:r>
      <w:r>
        <w:fldChar w:fldCharType="begin"/>
      </w:r>
      <w:r>
        <w:instrText xml:space="preserve"> PAGEREF _Toc2042089035 \h </w:instrText>
      </w:r>
      <w:r>
        <w:fldChar w:fldCharType="separate"/>
      </w:r>
      <w:r>
        <w:t>18</w:t>
      </w:r>
      <w:r>
        <w:fldChar w:fldCharType="end"/>
      </w:r>
      <w:r>
        <w:fldChar w:fldCharType="end"/>
      </w:r>
    </w:p>
    <w:p w14:paraId="0D4F18F3">
      <w:pPr>
        <w:pStyle w:val="12"/>
        <w:tabs>
          <w:tab w:val="right" w:leader="dot" w:pos="8666"/>
        </w:tabs>
      </w:pPr>
      <w:r>
        <w:fldChar w:fldCharType="begin"/>
      </w:r>
      <w:r>
        <w:instrText xml:space="preserve"> HYPERLINK \l _Toc306764891 </w:instrText>
      </w:r>
      <w:r>
        <w:fldChar w:fldCharType="separate"/>
      </w:r>
      <w:r>
        <w:rPr>
          <w:rFonts w:ascii="宋体" w:hAnsi="宋体" w:eastAsia="宋体" w:cs="宋体"/>
          <w:bCs/>
          <w:szCs w:val="28"/>
        </w:rPr>
        <w:t>（二）升级智能风控系统</w:t>
      </w:r>
      <w:r>
        <w:tab/>
      </w:r>
      <w:r>
        <w:fldChar w:fldCharType="begin"/>
      </w:r>
      <w:r>
        <w:instrText xml:space="preserve"> PAGEREF _Toc306764891 \h </w:instrText>
      </w:r>
      <w:r>
        <w:fldChar w:fldCharType="separate"/>
      </w:r>
      <w:r>
        <w:t>19</w:t>
      </w:r>
      <w:r>
        <w:fldChar w:fldCharType="end"/>
      </w:r>
      <w:r>
        <w:fldChar w:fldCharType="end"/>
      </w:r>
    </w:p>
    <w:p w14:paraId="668299F8">
      <w:pPr>
        <w:pStyle w:val="12"/>
        <w:tabs>
          <w:tab w:val="right" w:leader="dot" w:pos="8666"/>
        </w:tabs>
      </w:pPr>
      <w:r>
        <w:fldChar w:fldCharType="begin"/>
      </w:r>
      <w:r>
        <w:instrText xml:space="preserve"> HYPERLINK \l _Toc1836770237 </w:instrText>
      </w:r>
      <w:r>
        <w:fldChar w:fldCharType="separate"/>
      </w:r>
      <w:r>
        <w:rPr>
          <w:rFonts w:ascii="宋体" w:hAnsi="宋体" w:eastAsia="宋体" w:cs="宋体"/>
          <w:bCs/>
          <w:szCs w:val="28"/>
        </w:rPr>
        <w:t>（三）强化执行层面管理</w:t>
      </w:r>
      <w:r>
        <w:tab/>
      </w:r>
      <w:r>
        <w:fldChar w:fldCharType="begin"/>
      </w:r>
      <w:r>
        <w:instrText xml:space="preserve"> PAGEREF _Toc1836770237 \h </w:instrText>
      </w:r>
      <w:r>
        <w:fldChar w:fldCharType="separate"/>
      </w:r>
      <w:r>
        <w:t>21</w:t>
      </w:r>
      <w:r>
        <w:fldChar w:fldCharType="end"/>
      </w:r>
      <w:r>
        <w:fldChar w:fldCharType="end"/>
      </w:r>
    </w:p>
    <w:p w14:paraId="288BE998">
      <w:pPr>
        <w:pStyle w:val="12"/>
        <w:tabs>
          <w:tab w:val="right" w:leader="dot" w:pos="8666"/>
        </w:tabs>
      </w:pPr>
      <w:r>
        <w:fldChar w:fldCharType="begin"/>
      </w:r>
      <w:r>
        <w:instrText xml:space="preserve"> HYPERLINK \l _Toc519947634 </w:instrText>
      </w:r>
      <w:r>
        <w:fldChar w:fldCharType="separate"/>
      </w:r>
      <w:r>
        <w:rPr>
          <w:rFonts w:ascii="宋体" w:hAnsi="宋体" w:eastAsia="宋体" w:cs="宋体"/>
          <w:bCs/>
          <w:szCs w:val="28"/>
        </w:rPr>
        <w:t>（四）人才能力建设工程</w:t>
      </w:r>
      <w:r>
        <w:tab/>
      </w:r>
      <w:r>
        <w:fldChar w:fldCharType="begin"/>
      </w:r>
      <w:r>
        <w:instrText xml:space="preserve"> PAGEREF _Toc519947634 \h </w:instrText>
      </w:r>
      <w:r>
        <w:fldChar w:fldCharType="separate"/>
      </w:r>
      <w:r>
        <w:t>22</w:t>
      </w:r>
      <w:r>
        <w:fldChar w:fldCharType="end"/>
      </w:r>
      <w:r>
        <w:fldChar w:fldCharType="end"/>
      </w:r>
    </w:p>
    <w:p w14:paraId="0AE50F27">
      <w:pPr>
        <w:pStyle w:val="10"/>
        <w:tabs>
          <w:tab w:val="right" w:leader="dot" w:pos="8666"/>
        </w:tabs>
      </w:pPr>
      <w:r>
        <w:fldChar w:fldCharType="begin"/>
      </w:r>
      <w:r>
        <w:instrText xml:space="preserve"> HYPERLINK \l _Toc648924995 </w:instrText>
      </w:r>
      <w:r>
        <w:fldChar w:fldCharType="separate"/>
      </w:r>
      <w:r>
        <w:rPr>
          <w:rFonts w:ascii="宋体" w:hAnsi="宋体" w:eastAsia="宋体" w:cs="宋体"/>
          <w:bCs/>
          <w:szCs w:val="32"/>
        </w:rPr>
        <w:t>结论</w:t>
      </w:r>
      <w:r>
        <w:tab/>
      </w:r>
      <w:r>
        <w:fldChar w:fldCharType="begin"/>
      </w:r>
      <w:r>
        <w:instrText xml:space="preserve"> PAGEREF _Toc648924995 \h </w:instrText>
      </w:r>
      <w:r>
        <w:fldChar w:fldCharType="separate"/>
      </w:r>
      <w:r>
        <w:t>24</w:t>
      </w:r>
      <w:r>
        <w:fldChar w:fldCharType="end"/>
      </w:r>
      <w:r>
        <w:fldChar w:fldCharType="end"/>
      </w:r>
    </w:p>
    <w:p w14:paraId="37A05D76">
      <w:pPr>
        <w:pStyle w:val="10"/>
        <w:tabs>
          <w:tab w:val="right" w:leader="dot" w:pos="8666"/>
        </w:tabs>
      </w:pPr>
      <w:r>
        <w:fldChar w:fldCharType="begin"/>
      </w:r>
      <w:r>
        <w:instrText xml:space="preserve"> HYPERLINK \l _Toc1560431499 </w:instrText>
      </w:r>
      <w:r>
        <w:fldChar w:fldCharType="separate"/>
      </w:r>
      <w:r>
        <w:rPr>
          <w:rFonts w:ascii="宋体" w:hAnsi="宋体" w:eastAsia="宋体" w:cs="宋体"/>
          <w:bCs/>
          <w:szCs w:val="32"/>
        </w:rPr>
        <w:t>参考文献</w:t>
      </w:r>
      <w:r>
        <w:tab/>
      </w:r>
      <w:r>
        <w:fldChar w:fldCharType="begin"/>
      </w:r>
      <w:r>
        <w:instrText xml:space="preserve"> PAGEREF _Toc1560431499 \h </w:instrText>
      </w:r>
      <w:r>
        <w:fldChar w:fldCharType="separate"/>
      </w:r>
      <w:r>
        <w:t>25</w:t>
      </w:r>
      <w:r>
        <w:fldChar w:fldCharType="end"/>
      </w:r>
      <w:r>
        <w:fldChar w:fldCharType="end"/>
      </w:r>
    </w:p>
    <w:p w14:paraId="3A65D754">
      <w:pPr>
        <w:outlineLvl w:val="3"/>
      </w:pPr>
      <w:r>
        <w:fldChar w:fldCharType="end"/>
      </w:r>
    </w:p>
    <w:p w14:paraId="21A5BEAE"/>
    <w:p w14:paraId="73988B1B"/>
    <w:p w14:paraId="40FAD3AF"/>
    <w:p w14:paraId="4EB733CD"/>
    <w:p w14:paraId="486E211B"/>
    <w:p w14:paraId="7DE56587"/>
    <w:p w14:paraId="2FDF71B5"/>
    <w:p w14:paraId="22EBDA60"/>
    <w:p w14:paraId="52590179"/>
    <w:p w14:paraId="55C13CCF"/>
    <w:p w14:paraId="77343512"/>
    <w:p w14:paraId="7C31A4B3"/>
    <w:p w14:paraId="52CA31E2"/>
    <w:p w14:paraId="61BBECF8"/>
    <w:p w14:paraId="01330905"/>
    <w:p w14:paraId="5588D5B0"/>
    <w:p w14:paraId="163ED6B2">
      <w:pPr>
        <w:spacing w:before="240" w:after="200"/>
        <w:jc w:val="center"/>
      </w:pPr>
      <w:r>
        <w:rPr>
          <w:rFonts w:ascii="宋体" w:hAnsi="宋体" w:eastAsia="宋体" w:cs="宋体"/>
          <w:b/>
          <w:bCs/>
          <w:sz w:val="32"/>
          <w:szCs w:val="32"/>
        </w:rPr>
        <w:t>摘  要</w:t>
      </w:r>
    </w:p>
    <w:p w14:paraId="654D3178">
      <w:pPr>
        <w:spacing w:before="80" w:after="80" w:line="360" w:lineRule="auto"/>
        <w:ind w:firstLine="480"/>
        <w:jc w:val="both"/>
      </w:pPr>
      <w:r>
        <w:rPr>
          <w:rFonts w:ascii="宋体" w:hAnsi="宋体" w:eastAsia="宋体" w:cs="宋体"/>
          <w:sz w:val="24"/>
          <w:szCs w:val="24"/>
        </w:rPr>
        <w:t>城市商业银行是我国银行体系的重要组成部分，承担着服务地方经济、支持中小微企业融资的重要职能。然而，由于区域集中度高、客户资质参差不齐、风险分散能力相对有限，信用风险始终是城商行面临的核心挑战。党的二十大以来，金融高质量发展被提升至战略高度，进一步强化了城商行完善信用风险管理体系的紧迫性。</w:t>
      </w:r>
    </w:p>
    <w:p w14:paraId="0CBBAF2A">
      <w:pPr>
        <w:spacing w:before="80" w:after="80" w:line="360" w:lineRule="auto"/>
        <w:ind w:firstLine="480"/>
        <w:jc w:val="both"/>
      </w:pPr>
      <w:r>
        <w:rPr>
          <w:rFonts w:ascii="宋体" w:hAnsi="宋体" w:eastAsia="宋体" w:cs="宋体"/>
          <w:sz w:val="24"/>
          <w:szCs w:val="24"/>
        </w:rPr>
        <w:t>本文以邯郸银行股份有限公司为研究对象，系统梳理该行2020—2024年五年间的年度报告数据，运用信息不对称理论、全面风险管理理论及巴塞尔协议框架对其信用风险管理实践进行深入分析。研究发现：邯郸银行信用风险管理取得了一定成效，资产规模从2020年末1,809亿元增至2024年末2,492亿元，不良贷款率由2023年高点2.24%于2024年显著回落至1.38%，拨备覆盖率于2024年提升至204.35%，资本充足率持续高于监管要求；但同时也存在信贷结构高度集中于制造业与批发零售业、关注类贷款占比持续攀升（2023年达10.07%）、风险识别技术体系较为落后、风控执行机制存在松弛现象、信用风险人才相对匮乏等突出问题。</w:t>
      </w:r>
    </w:p>
    <w:p w14:paraId="35E56228">
      <w:pPr>
        <w:spacing w:before="80" w:after="80" w:line="360" w:lineRule="auto"/>
        <w:ind w:firstLine="480"/>
        <w:jc w:val="both"/>
      </w:pPr>
      <w:r>
        <w:rPr>
          <w:rFonts w:ascii="宋体" w:hAnsi="宋体" w:eastAsia="宋体" w:cs="宋体"/>
          <w:sz w:val="24"/>
          <w:szCs w:val="24"/>
        </w:rPr>
        <w:t>针对上述问题，本文提出优化信贷全流程管理、升级智能风控系统（含大模型应用）、强化执行层面管理与推进人才能力建设四个维度的对策建议，旨在为邯郸银行及同类城市商业银行提升信用风险管理水平提供参考。</w:t>
      </w:r>
    </w:p>
    <w:p w14:paraId="59C67FEE">
      <w:pPr>
        <w:spacing w:before="120" w:after="80" w:line="360" w:lineRule="auto"/>
      </w:pPr>
      <w:r>
        <w:rPr>
          <w:rFonts w:ascii="宋体" w:hAnsi="宋体" w:eastAsia="宋体" w:cs="宋体"/>
          <w:b/>
          <w:bCs/>
          <w:sz w:val="24"/>
          <w:szCs w:val="24"/>
        </w:rPr>
        <w:t>关键词：城市商业银行；信用风险；风险管理；邯郸银行；不良贷款率；大语言模型</w:t>
      </w:r>
    </w:p>
    <w:p w14:paraId="46E46806">
      <w:r>
        <w:br w:type="page"/>
      </w:r>
    </w:p>
    <w:p w14:paraId="66D521E7">
      <w:pPr>
        <w:pStyle w:val="2"/>
      </w:pPr>
      <w:bookmarkStart w:id="0" w:name="_Toc2134850245"/>
      <w:r>
        <w:rPr>
          <w:rFonts w:ascii="宋体" w:hAnsi="宋体" w:eastAsia="宋体" w:cs="宋体"/>
          <w:b/>
          <w:bCs/>
          <w:sz w:val="32"/>
          <w:szCs w:val="32"/>
        </w:rPr>
        <w:t>一、引言</w:t>
      </w:r>
      <w:bookmarkEnd w:id="0"/>
    </w:p>
    <w:p w14:paraId="3D2AEF72">
      <w:pPr>
        <w:pStyle w:val="3"/>
      </w:pPr>
      <w:bookmarkStart w:id="1" w:name="_Toc271293639"/>
      <w:r>
        <w:rPr>
          <w:rFonts w:ascii="宋体" w:hAnsi="宋体" w:eastAsia="宋体" w:cs="宋体"/>
          <w:b/>
          <w:bCs/>
          <w:sz w:val="28"/>
          <w:szCs w:val="28"/>
        </w:rPr>
        <w:t>（一）研究背景</w:t>
      </w:r>
      <w:bookmarkEnd w:id="1"/>
    </w:p>
    <w:p w14:paraId="0AA70260">
      <w:pPr>
        <w:spacing w:before="80" w:after="80" w:line="360" w:lineRule="auto"/>
        <w:ind w:firstLine="480"/>
        <w:jc w:val="both"/>
      </w:pPr>
      <w:r>
        <w:rPr>
          <w:rFonts w:ascii="宋体" w:hAnsi="宋体" w:eastAsia="宋体" w:cs="宋体"/>
          <w:sz w:val="24"/>
          <w:szCs w:val="24"/>
        </w:rPr>
        <w:t>金融是现代经济的核心，银行业的稳健运行对于维护经济金融秩序具有不可替代的基础性作用。作为我国银行体系的重要组成部分，城市商业银行（以下简称“城商行”）自20世纪90年代城市信用社改制以来，历经三十余年发展，资产规模持续扩张，已成为地方经济发展不可或缺的金融支柱。根据中国银行保险监督管理委员会披露数据，截至2024年末，全国城商行总资产规模已突破60万亿元，在银行业整体资产中占比约15%。</w:t>
      </w:r>
    </w:p>
    <w:p w14:paraId="6943B228">
      <w:pPr>
        <w:spacing w:before="80" w:after="80" w:line="360" w:lineRule="auto"/>
        <w:ind w:firstLine="480"/>
        <w:jc w:val="both"/>
      </w:pPr>
      <w:r>
        <w:rPr>
          <w:rFonts w:ascii="宋体" w:hAnsi="宋体" w:eastAsia="宋体" w:cs="宋体"/>
          <w:sz w:val="24"/>
          <w:szCs w:val="24"/>
        </w:rPr>
        <w:t>然而，与大型国有商业银行及全国性股份制银行相比，城商行在信用风险管理方面面临更为复杂的挑战。一方面，城商行客户群体以中小企业为主，这类客户财务透明度低、抗风险能力弱、信息不对称程度高；另一方面，城商行信贷资产高度集中于特定区域和行业，风险分散效果有限。近年来，受宏观经济下行压力加大、房地产行业调整、地方政府债务风险显现等多重因素叠加影响，部分城商行不良贷款余额和不良贷款率呈现双升态势，信用风险管理面临严峻考验。</w:t>
      </w:r>
    </w:p>
    <w:p w14:paraId="3752DE64">
      <w:pPr>
        <w:spacing w:before="80" w:after="80" w:line="360" w:lineRule="auto"/>
        <w:ind w:firstLine="480"/>
        <w:jc w:val="both"/>
      </w:pPr>
      <w:r>
        <w:rPr>
          <w:rFonts w:ascii="宋体" w:hAnsi="宋体" w:eastAsia="宋体" w:cs="宋体"/>
          <w:sz w:val="24"/>
          <w:szCs w:val="24"/>
        </w:rPr>
        <w:t>邯郸银行股份有限公司（以下简称“邯郸银行”）是河北省邯郸市最大的地方法人金融机构，成立于2005年。从历年报告来看，邯郸银行资产规模快速扩张：2020年末总资产1,809亿元，2024年末已达2,492亿元，年均复合增长率约8.3%；同期贷款余额从760亿元增长至1,385亿元。但与此同时，不良贷款率在2022—2023年间出现明显攀升（从1.90%升至2.24%），关注类贷款占比更于2023年末高达10.07%，潜在信用风险值得高度重视。2024年度，邯郸银行通过加强不良资产处置，不良贷款率大幅回落至1.38%，拨备覆盖率提升至204.35%，风险管理能力有所增强，但深层次问题仍然存在。</w:t>
      </w:r>
    </w:p>
    <w:p w14:paraId="74A8D7BB">
      <w:pPr>
        <w:pStyle w:val="3"/>
      </w:pPr>
      <w:bookmarkStart w:id="2" w:name="_Toc524408092"/>
      <w:r>
        <w:rPr>
          <w:rFonts w:ascii="宋体" w:hAnsi="宋体" w:eastAsia="宋体" w:cs="宋体"/>
          <w:b/>
          <w:bCs/>
          <w:sz w:val="28"/>
          <w:szCs w:val="28"/>
        </w:rPr>
        <w:t>（二）研究意义</w:t>
      </w:r>
      <w:bookmarkEnd w:id="2"/>
    </w:p>
    <w:p w14:paraId="7C16B4A9">
      <w:pPr>
        <w:spacing w:before="200" w:after="120"/>
      </w:pPr>
      <w:r>
        <w:rPr>
          <w:rFonts w:ascii="宋体" w:hAnsi="宋体" w:eastAsia="宋体" w:cs="宋体"/>
          <w:b/>
          <w:bCs/>
          <w:sz w:val="26"/>
          <w:szCs w:val="26"/>
        </w:rPr>
        <w:t>1. 理论意义</w:t>
      </w:r>
    </w:p>
    <w:p w14:paraId="60DAD55F">
      <w:pPr>
        <w:spacing w:before="80" w:after="80" w:line="360" w:lineRule="auto"/>
        <w:ind w:firstLine="480"/>
        <w:jc w:val="both"/>
      </w:pPr>
      <w:r>
        <w:rPr>
          <w:rFonts w:ascii="宋体" w:hAnsi="宋体" w:eastAsia="宋体" w:cs="宋体"/>
          <w:sz w:val="24"/>
          <w:szCs w:val="24"/>
        </w:rPr>
        <w:t>本文将信息不对称理论、全面风险管理理论和巴塞尔协议框架应用于城商行信用风险管理分析，丰富了银行信用风险管理理论在区域性中小银行场景下的应用研究。通过对邯郸银行五年连续数据的纵向分析，本文尝试识别城商行信用风险管理的共性规律与特殊矛盾，对于完善城商行信用风险管理理论体系具有积极贡献。</w:t>
      </w:r>
    </w:p>
    <w:p w14:paraId="0F71E6CE">
      <w:pPr>
        <w:spacing w:before="200" w:after="120"/>
      </w:pPr>
      <w:r>
        <w:rPr>
          <w:rFonts w:ascii="宋体" w:hAnsi="宋体" w:eastAsia="宋体" w:cs="宋体"/>
          <w:b/>
          <w:bCs/>
          <w:sz w:val="26"/>
          <w:szCs w:val="26"/>
        </w:rPr>
        <w:t>2. 实践意义</w:t>
      </w:r>
    </w:p>
    <w:p w14:paraId="129B92F7">
      <w:pPr>
        <w:spacing w:before="80" w:after="80" w:line="360" w:lineRule="auto"/>
        <w:ind w:firstLine="480"/>
        <w:jc w:val="both"/>
      </w:pPr>
      <w:r>
        <w:rPr>
          <w:rFonts w:ascii="宋体" w:hAnsi="宋体" w:eastAsia="宋体" w:cs="宋体"/>
          <w:sz w:val="24"/>
          <w:szCs w:val="24"/>
        </w:rPr>
        <w:t>本文研究成果可为邯郸银行优化信贷结构、健全风险预警机制、强化内部控制提供具体的对策建议，有助于该行在业务扩张的同时保持资产质量稳定。同时，本文所总结的经验与教训对于河北省及全国同类城商行防范化解信用风险、支持实体经济发展具有借鉴价值。</w:t>
      </w:r>
    </w:p>
    <w:p w14:paraId="2D869CDB">
      <w:pPr>
        <w:pStyle w:val="3"/>
      </w:pPr>
      <w:bookmarkStart w:id="3" w:name="_Toc453914956"/>
      <w:r>
        <w:rPr>
          <w:rFonts w:ascii="宋体" w:hAnsi="宋体" w:eastAsia="宋体" w:cs="宋体"/>
          <w:b/>
          <w:bCs/>
          <w:sz w:val="28"/>
          <w:szCs w:val="28"/>
        </w:rPr>
        <w:t>（三）文献综述</w:t>
      </w:r>
      <w:bookmarkEnd w:id="3"/>
    </w:p>
    <w:p w14:paraId="5337D7E4">
      <w:pPr>
        <w:spacing w:before="200" w:after="120"/>
      </w:pPr>
      <w:r>
        <w:rPr>
          <w:rFonts w:ascii="宋体" w:hAnsi="宋体" w:eastAsia="宋体" w:cs="宋体"/>
          <w:b/>
          <w:bCs/>
          <w:sz w:val="26"/>
          <w:szCs w:val="26"/>
        </w:rPr>
        <w:t>1. 国内相关研究</w:t>
      </w:r>
    </w:p>
    <w:p w14:paraId="580CF5DE">
      <w:pPr>
        <w:spacing w:before="80" w:after="80" w:line="360" w:lineRule="auto"/>
        <w:ind w:firstLine="480"/>
        <w:jc w:val="both"/>
      </w:pPr>
      <w:r>
        <w:rPr>
          <w:rFonts w:ascii="宋体" w:hAnsi="宋体" w:eastAsia="宋体" w:cs="宋体"/>
          <w:sz w:val="24"/>
          <w:szCs w:val="24"/>
        </w:rPr>
        <w:t>关于银行信用风险的国内研究经历了从定性描述到定量模型、从单一机构到系统层面的演变。邹新月（2004）较早系统梳理了我国商业银行信用风险的成因，指出信息不对称和内部控制缺位是不良贷款形成的根本原因。沈沛龙、任若恩（2007）将KMV模型引入我国上市公司信用风险度量，发现传统财务指标在早期预警方面存在明显滞后性。针对城商行特殊性，王霄、张捷（2003）指出中小企业融资中存在的严重信息不对称问题，认为关系型融资是缓解该问题的有效机制。近年来，方意等（2021）基于机器学习方法构建城商行信用风险传染模型，发现系统性风险在区域城商行间的溢出效应不可忽视。</w:t>
      </w:r>
    </w:p>
    <w:p w14:paraId="079FAB72">
      <w:pPr>
        <w:spacing w:before="200" w:after="120"/>
      </w:pPr>
      <w:r>
        <w:rPr>
          <w:rFonts w:ascii="宋体" w:hAnsi="宋体" w:eastAsia="宋体" w:cs="宋体"/>
          <w:b/>
          <w:bCs/>
          <w:sz w:val="26"/>
          <w:szCs w:val="26"/>
        </w:rPr>
        <w:t>2. 国外相关研究</w:t>
      </w:r>
    </w:p>
    <w:p w14:paraId="4034181D">
      <w:pPr>
        <w:spacing w:before="80" w:after="80" w:line="360" w:lineRule="auto"/>
        <w:ind w:firstLine="480"/>
        <w:jc w:val="both"/>
      </w:pPr>
      <w:r>
        <w:rPr>
          <w:rFonts w:ascii="宋体" w:hAnsi="宋体" w:eastAsia="宋体" w:cs="宋体"/>
          <w:sz w:val="24"/>
          <w:szCs w:val="24"/>
        </w:rPr>
        <w:t>国外信用风险管理研究起步较早，理论体系较为完善。Altman（1968）提出的Z-Score模型开创了定量信用风险评估的先河。Merton（1974）基于期权定价理论建立了信用风险的结构化模型，为后续KMV模型奠定了理论基础。巴塞尔委员会（BCBS）自1988年以来陆续发布巴塞尔协议，建立了以最低资本要求、监督检查和市场约束为三大支柱的资本监管框架。近年来，大语言模型（LLM）在金融风险识别领域的应用研究逐渐兴起，Lopez等学者已将信用组合模型与压力测试方法结合，为银行资产组合的信用风险动态管理提供了新的分析框架。</w:t>
      </w:r>
    </w:p>
    <w:p w14:paraId="18CDD9DF">
      <w:pPr>
        <w:spacing w:before="200" w:after="120"/>
      </w:pPr>
      <w:r>
        <w:rPr>
          <w:rFonts w:ascii="宋体" w:hAnsi="宋体" w:eastAsia="宋体" w:cs="宋体"/>
          <w:b/>
          <w:bCs/>
          <w:sz w:val="26"/>
          <w:szCs w:val="26"/>
        </w:rPr>
        <w:t>3. 文献述评</w:t>
      </w:r>
    </w:p>
    <w:p w14:paraId="2341D56D">
      <w:pPr>
        <w:spacing w:before="80" w:after="80" w:line="360" w:lineRule="auto"/>
        <w:ind w:firstLine="480"/>
        <w:jc w:val="both"/>
      </w:pPr>
      <w:r>
        <w:rPr>
          <w:rFonts w:ascii="宋体" w:hAnsi="宋体" w:eastAsia="宋体" w:cs="宋体"/>
          <w:sz w:val="24"/>
          <w:szCs w:val="24"/>
        </w:rPr>
        <w:t>综观国内外已有研究，总体上存在以下不足：一是对城商行的专项研究相对匮乏；二是理论框架与实践案例的结合深度不足；三是对风险管理制度执行层面的研究薄弱；四是对新兴大模型技术在城商行信用风险管理中的应用探讨尚处起步阶段。本文将在上述不足的基础上，以邯郸银行2020—2024年五年数据为基础，从组织体系、制度流程、技术工具（含大模型）和执行文化等维度展开综合分析。</w:t>
      </w:r>
    </w:p>
    <w:p w14:paraId="384DE4DF">
      <w:pPr>
        <w:pStyle w:val="3"/>
      </w:pPr>
      <w:bookmarkStart w:id="4" w:name="_Toc1086751348"/>
      <w:r>
        <w:rPr>
          <w:rFonts w:ascii="宋体" w:hAnsi="宋体" w:eastAsia="宋体" w:cs="宋体"/>
          <w:b/>
          <w:bCs/>
          <w:sz w:val="28"/>
          <w:szCs w:val="28"/>
        </w:rPr>
        <w:t>（四）相关概念</w:t>
      </w:r>
      <w:bookmarkEnd w:id="4"/>
    </w:p>
    <w:p w14:paraId="68D4FD5A">
      <w:pPr>
        <w:spacing w:before="200" w:after="120"/>
      </w:pPr>
      <w:r>
        <w:rPr>
          <w:rFonts w:ascii="宋体" w:hAnsi="宋体" w:eastAsia="宋体" w:cs="宋体"/>
          <w:b/>
          <w:bCs/>
          <w:sz w:val="26"/>
          <w:szCs w:val="26"/>
        </w:rPr>
        <w:t>1. 城市商业银行</w:t>
      </w:r>
    </w:p>
    <w:p w14:paraId="4A7E3A37">
      <w:pPr>
        <w:spacing w:before="80" w:after="80" w:line="360" w:lineRule="auto"/>
        <w:ind w:firstLine="480"/>
        <w:jc w:val="both"/>
      </w:pPr>
      <w:r>
        <w:rPr>
          <w:rFonts w:ascii="宋体" w:hAnsi="宋体" w:eastAsia="宋体" w:cs="宋体"/>
          <w:sz w:val="24"/>
          <w:szCs w:val="24"/>
        </w:rPr>
        <w:t>城市商业银行是指由地方政府主导，以城市信用合作社为基础改制组建，以服务地方经济、服务中小企业、服务城市居民为定位的地方性商业银行。城商行的核心特征包括：资产规模相对较小、业务区域高度集中、股权结构以地方国有资本和民营资本为主、与地方政府经济关联度高。</w:t>
      </w:r>
      <w:bookmarkStart w:id="25" w:name="_GoBack"/>
      <w:bookmarkEnd w:id="25"/>
    </w:p>
    <w:p w14:paraId="46824F0B">
      <w:pPr>
        <w:spacing w:before="200" w:after="120"/>
      </w:pPr>
      <w:r>
        <w:rPr>
          <w:rFonts w:ascii="宋体" w:hAnsi="宋体" w:eastAsia="宋体" w:cs="宋体"/>
          <w:b/>
          <w:bCs/>
          <w:sz w:val="26"/>
          <w:szCs w:val="26"/>
        </w:rPr>
        <w:t>2. 信用风险</w:t>
      </w:r>
    </w:p>
    <w:p w14:paraId="478BA43E">
      <w:pPr>
        <w:spacing w:before="80" w:after="80" w:line="360" w:lineRule="auto"/>
        <w:ind w:firstLine="480"/>
        <w:jc w:val="both"/>
      </w:pPr>
      <w:r>
        <w:rPr>
          <w:rFonts w:ascii="宋体" w:hAnsi="宋体" w:eastAsia="宋体" w:cs="宋体"/>
          <w:sz w:val="24"/>
          <w:szCs w:val="24"/>
        </w:rPr>
        <w:t>信用风险（Credit Risk）是指债务人或交易对手因各种原因未能按期履行合同义务，导致银行遭受经济损失的可能性。在商业银行业务实践中，信用风险主要体现在贷款违约和信用降级两个层面。信用风险的核心特征包括：损失的不确定性、信息不对称性、风险的传染性以及宏观经济的高度关联性。</w:t>
      </w:r>
    </w:p>
    <w:p w14:paraId="7F7B2457">
      <w:pPr>
        <w:spacing w:before="200" w:after="120"/>
      </w:pPr>
      <w:r>
        <w:rPr>
          <w:rFonts w:ascii="宋体" w:hAnsi="宋体" w:eastAsia="宋体" w:cs="宋体"/>
          <w:b/>
          <w:bCs/>
          <w:sz w:val="26"/>
          <w:szCs w:val="26"/>
        </w:rPr>
        <w:t>3. 信用风险管理</w:t>
      </w:r>
    </w:p>
    <w:p w14:paraId="6EFDBED3">
      <w:pPr>
        <w:spacing w:before="80" w:after="80" w:line="360" w:lineRule="auto"/>
        <w:ind w:firstLine="480"/>
        <w:jc w:val="both"/>
      </w:pPr>
      <w:r>
        <w:rPr>
          <w:rFonts w:ascii="宋体" w:hAnsi="宋体" w:eastAsia="宋体" w:cs="宋体"/>
          <w:sz w:val="24"/>
          <w:szCs w:val="24"/>
        </w:rPr>
        <w:t>信用风险管理是指银行通过建立健全的政策制度、组织架构、流程机制和技术工具，对信用风险进行识别、计量、监测、控制和报告的全过程管理活动。完善的信用风险管理体系通常涵盖事前的信贷准入与授信审查、事中的贷后动态监测与预警、事后的不良资产处置与损失计量三个阶段。</w:t>
      </w:r>
    </w:p>
    <w:p w14:paraId="1BEB3C0F">
      <w:r>
        <w:br w:type="page"/>
      </w:r>
    </w:p>
    <w:p w14:paraId="2B188715">
      <w:pPr>
        <w:pStyle w:val="2"/>
      </w:pPr>
      <w:bookmarkStart w:id="5" w:name="_Toc681488101"/>
      <w:r>
        <w:rPr>
          <w:rFonts w:ascii="宋体" w:hAnsi="宋体" w:eastAsia="宋体" w:cs="宋体"/>
          <w:b/>
          <w:bCs/>
          <w:sz w:val="32"/>
          <w:szCs w:val="32"/>
        </w:rPr>
        <w:t>二、理论基础</w:t>
      </w:r>
      <w:bookmarkEnd w:id="5"/>
    </w:p>
    <w:p w14:paraId="4B3FD8D9">
      <w:pPr>
        <w:pStyle w:val="3"/>
      </w:pPr>
      <w:bookmarkStart w:id="6" w:name="_Toc1240224056"/>
      <w:r>
        <w:rPr>
          <w:rFonts w:ascii="宋体" w:hAnsi="宋体" w:eastAsia="宋体" w:cs="宋体"/>
          <w:b/>
          <w:bCs/>
          <w:sz w:val="28"/>
          <w:szCs w:val="28"/>
        </w:rPr>
        <w:t>（一）信息不对称理论</w:t>
      </w:r>
      <w:bookmarkEnd w:id="6"/>
    </w:p>
    <w:p w14:paraId="09D415B1">
      <w:pPr>
        <w:spacing w:before="80" w:after="80" w:line="360" w:lineRule="auto"/>
        <w:ind w:firstLine="480"/>
        <w:jc w:val="both"/>
      </w:pPr>
      <w:r>
        <w:rPr>
          <w:rFonts w:ascii="宋体" w:hAnsi="宋体" w:eastAsia="宋体" w:cs="宋体"/>
          <w:sz w:val="24"/>
          <w:szCs w:val="24"/>
        </w:rPr>
        <w:t>信息不对称理论由Akerlof（1970）在其经典论文“柠檬市场”中奠定基础，此后由Stiglitz和Weiss（1981）进一步发展并应用于信贷市场分析。该理论认为，在信贷关系中，借款人对自身偿债能力、项目风险的了解程度远高于银行，这种信息占优地位导致两类典型问题：其一是逆向选择（Adverse Selection），即在给定利率水平下，愿意借贷的往往是风险偏好较高的借款人；其二是道德风险（Moral Hazard），即借款人在取得贷款后，可能将资金投向风险更高的项目。</w:t>
      </w:r>
    </w:p>
    <w:p w14:paraId="5B1A6B42">
      <w:pPr>
        <w:spacing w:before="80" w:after="80" w:line="360" w:lineRule="auto"/>
        <w:ind w:firstLine="480"/>
        <w:jc w:val="both"/>
      </w:pPr>
      <w:r>
        <w:rPr>
          <w:rFonts w:ascii="宋体" w:hAnsi="宋体" w:eastAsia="宋体" w:cs="宋体"/>
          <w:sz w:val="24"/>
          <w:szCs w:val="24"/>
        </w:rPr>
        <w:t>信息不对称理论对城商行信用风险管理具有深刻的指导意义。城商行服务对象以中小微企业为主，这类客户普遍缺乏规范的财务报告制度，财务数据不透明，信息核实成本高，逆向选择和道德风险问题尤为突出。</w:t>
      </w:r>
    </w:p>
    <w:p w14:paraId="63E74832">
      <w:pPr>
        <w:pStyle w:val="3"/>
      </w:pPr>
      <w:bookmarkStart w:id="7" w:name="_Toc969431410"/>
      <w:r>
        <w:rPr>
          <w:rFonts w:ascii="宋体" w:hAnsi="宋体" w:eastAsia="宋体" w:cs="宋体"/>
          <w:b/>
          <w:bCs/>
          <w:sz w:val="28"/>
          <w:szCs w:val="28"/>
        </w:rPr>
        <w:t>（二）全面风险管理理论</w:t>
      </w:r>
      <w:bookmarkEnd w:id="7"/>
    </w:p>
    <w:p w14:paraId="50AB9D73">
      <w:pPr>
        <w:spacing w:before="80" w:after="80" w:line="360" w:lineRule="auto"/>
        <w:ind w:firstLine="480"/>
        <w:jc w:val="both"/>
      </w:pPr>
      <w:r>
        <w:rPr>
          <w:rFonts w:ascii="宋体" w:hAnsi="宋体" w:eastAsia="宋体" w:cs="宋体"/>
          <w:sz w:val="24"/>
          <w:szCs w:val="24"/>
        </w:rPr>
        <w:t>全面风险管理（Enterprise Risk Management，ERM）理论由美国COSO委员会于2004年提出，将风险管理从传统的单一风险独立管理模式，升级为覆盖全组织、全风险类型、全业务流程的整合性管理框架。在银行业，全面风险管理理论要求将信用风险、流动性风险、市场风险、操作风险、合规风险等纳入统一的管理框架，实现“横向到边、纵向到底”的全覆盖。</w:t>
      </w:r>
    </w:p>
    <w:p w14:paraId="20AE1F62">
      <w:pPr>
        <w:pStyle w:val="3"/>
      </w:pPr>
      <w:bookmarkStart w:id="8" w:name="_Toc275278081"/>
      <w:r>
        <w:rPr>
          <w:rFonts w:ascii="宋体" w:hAnsi="宋体" w:eastAsia="宋体" w:cs="宋体"/>
          <w:b/>
          <w:bCs/>
          <w:sz w:val="28"/>
          <w:szCs w:val="28"/>
        </w:rPr>
        <w:t>（三）巴塞尔协议（资本监管框架）</w:t>
      </w:r>
      <w:bookmarkEnd w:id="8"/>
    </w:p>
    <w:p w14:paraId="2E524D27">
      <w:pPr>
        <w:spacing w:before="80" w:after="80" w:line="360" w:lineRule="auto"/>
        <w:ind w:firstLine="480"/>
        <w:jc w:val="both"/>
      </w:pPr>
      <w:r>
        <w:rPr>
          <w:rFonts w:ascii="宋体" w:hAnsi="宋体" w:eastAsia="宋体" w:cs="宋体"/>
          <w:sz w:val="24"/>
          <w:szCs w:val="24"/>
        </w:rPr>
        <w:t>巴塞尔协议是由国际清算银行（BIS）下设的巴塞尔银行监管委员会（BCBS）制定的全球银行业风险管理和资本监管标准。自1988年首次发布以来，巴塞尔协议历经三次重大修订，形成了以“三支柱”为核心的监管框架：第一支柱为最低资本要求，第二支柱为监督检查，第三支柱为市场约束。我国监管对城商行设置了差异化资本要求：核心一级资本充足率不低于7.5%，一级资本充足率不低于8.5%，资本充足率不低于10.5%。</w:t>
      </w:r>
    </w:p>
    <w:p w14:paraId="5AC78CA9">
      <w:r>
        <w:br w:type="page"/>
      </w:r>
    </w:p>
    <w:p w14:paraId="155F3736">
      <w:pPr>
        <w:pStyle w:val="2"/>
      </w:pPr>
      <w:bookmarkStart w:id="9" w:name="_Toc918931729"/>
      <w:r>
        <w:rPr>
          <w:rFonts w:ascii="宋体" w:hAnsi="宋体" w:eastAsia="宋体" w:cs="宋体"/>
          <w:b/>
          <w:bCs/>
          <w:sz w:val="32"/>
          <w:szCs w:val="32"/>
        </w:rPr>
        <w:t>三、邯郸银行信用风险管理的现状</w:t>
      </w:r>
      <w:bookmarkEnd w:id="9"/>
    </w:p>
    <w:p w14:paraId="560F21CA">
      <w:pPr>
        <w:pStyle w:val="3"/>
      </w:pPr>
      <w:bookmarkStart w:id="10" w:name="_Toc1930663726"/>
      <w:r>
        <w:rPr>
          <w:rFonts w:ascii="宋体" w:hAnsi="宋体" w:eastAsia="宋体" w:cs="宋体"/>
          <w:b/>
          <w:bCs/>
          <w:sz w:val="28"/>
          <w:szCs w:val="28"/>
        </w:rPr>
        <w:t>（一）城市商业银行信用风险管理总体概况</w:t>
      </w:r>
      <w:bookmarkEnd w:id="10"/>
    </w:p>
    <w:p w14:paraId="225FBDFE">
      <w:pPr>
        <w:spacing w:before="200" w:after="120"/>
      </w:pPr>
      <w:r>
        <w:rPr>
          <w:rFonts w:ascii="宋体" w:hAnsi="宋体" w:eastAsia="宋体" w:cs="宋体"/>
          <w:b/>
          <w:bCs/>
          <w:sz w:val="26"/>
          <w:szCs w:val="26"/>
        </w:rPr>
        <w:t>1. 城市商业银行信用风险管理的主要特征</w:t>
      </w:r>
    </w:p>
    <w:p w14:paraId="7680BF3A">
      <w:pPr>
        <w:spacing w:before="80" w:after="80" w:line="360" w:lineRule="auto"/>
        <w:ind w:firstLine="480"/>
        <w:jc w:val="both"/>
      </w:pPr>
      <w:r>
        <w:rPr>
          <w:rFonts w:ascii="宋体" w:hAnsi="宋体" w:eastAsia="宋体" w:cs="宋体"/>
          <w:sz w:val="24"/>
          <w:szCs w:val="24"/>
        </w:rPr>
        <w:t>与大型银行相比，城商行信用风险管理具有以下四个显著特征：一是区域集中性，城商行业务主要集中于设立地所在城市及周边，区域经济周期性波动对其资产质量影响极大；二是客户特殊性，中小微企业和个体工商户是城商行核心客户，财务管理规范性低、信息透明度差；三是资源约束性，城商行在风险管理人才储备、技术系统建设方面远不及大型银行；四是政策关联性，政府意志对信贷决策的渗透程度较高，可能导致信贷资源配置偏离纯粹的商业逻辑。</w:t>
      </w:r>
    </w:p>
    <w:p w14:paraId="3719F9EE">
      <w:pPr>
        <w:spacing w:before="200" w:after="120"/>
      </w:pPr>
      <w:r>
        <w:rPr>
          <w:rFonts w:ascii="宋体" w:hAnsi="宋体" w:eastAsia="宋体" w:cs="宋体"/>
          <w:b/>
          <w:bCs/>
          <w:sz w:val="26"/>
          <w:szCs w:val="26"/>
        </w:rPr>
        <w:t>2. 城市商业银行信用风险管理的发展趋势</w:t>
      </w:r>
    </w:p>
    <w:p w14:paraId="6D7B37AF">
      <w:pPr>
        <w:spacing w:before="80" w:after="80" w:line="360" w:lineRule="auto"/>
        <w:ind w:firstLine="480"/>
        <w:jc w:val="both"/>
      </w:pPr>
      <w:r>
        <w:rPr>
          <w:rFonts w:ascii="宋体" w:hAnsi="宋体" w:eastAsia="宋体" w:cs="宋体"/>
          <w:sz w:val="24"/>
          <w:szCs w:val="24"/>
        </w:rPr>
        <w:t>近年来，城商行信用风险管理呈现以下发展趋势：一是数字化转型加速，越来越多的城商行引入大数据风控、人工智能评分卡、机器学习违约预测等新技术，部分先进城商行已开始探索大语言模型（LLM）在信贷审核与风险预警中的应用；二是监管标准趋严，国家金融监督管理总局持续强化穿透式监管；三是差异化竞争深化，城商行加快聚焦“专精特新”企业、普惠小微、绿色金融等特色赛道；四是资本补充机制完善，随着永续债、二级资本债等资本工具的推广应用，城商行资本充足水平整体得到提升。</w:t>
      </w:r>
    </w:p>
    <w:p w14:paraId="13DA113F">
      <w:pPr>
        <w:pStyle w:val="3"/>
      </w:pPr>
      <w:bookmarkStart w:id="11" w:name="_Toc187336712"/>
      <w:r>
        <w:rPr>
          <w:rFonts w:ascii="宋体" w:hAnsi="宋体" w:eastAsia="宋体" w:cs="宋体"/>
          <w:b/>
          <w:bCs/>
          <w:sz w:val="28"/>
          <w:szCs w:val="28"/>
        </w:rPr>
        <w:t>（二）邯郸银行信用风险管理现状</w:t>
      </w:r>
      <w:bookmarkEnd w:id="11"/>
    </w:p>
    <w:p w14:paraId="6244C893">
      <w:pPr>
        <w:spacing w:before="200" w:after="120"/>
      </w:pPr>
      <w:r>
        <w:rPr>
          <w:rFonts w:ascii="宋体" w:hAnsi="宋体" w:eastAsia="宋体" w:cs="宋体"/>
          <w:b/>
          <w:bCs/>
          <w:sz w:val="26"/>
          <w:szCs w:val="26"/>
        </w:rPr>
        <w:t>1. 邯郸银行信用风险管理组织体系</w:t>
      </w:r>
    </w:p>
    <w:p w14:paraId="3937E6F3">
      <w:pPr>
        <w:spacing w:before="80" w:after="80" w:line="360" w:lineRule="auto"/>
        <w:ind w:firstLine="480"/>
        <w:jc w:val="both"/>
      </w:pPr>
      <w:r>
        <w:rPr>
          <w:rFonts w:ascii="宋体" w:hAnsi="宋体" w:eastAsia="宋体" w:cs="宋体"/>
          <w:sz w:val="24"/>
          <w:szCs w:val="24"/>
        </w:rPr>
        <w:t>邯郸银行已建立较为完整的信用风险管理组织架构。在董事会层面，设立风险管理与资产负债管理委员会，负责监督各类风险控制，审议高级管理层全面风险管理报告，拟定风险偏好和风险限额；在高管层面，行长负总责；在部门层面，风险管理部负责全面风险统筹，信贷管理部门负责信贷业务一线管理。2022年，邯郸银行进一步完善组织架构，成立个贷审批中心，将个人贷款审批权限上收，强化了第二道防线的独立性。</w:t>
      </w:r>
    </w:p>
    <w:p w14:paraId="68D81E93">
      <w:pPr>
        <w:spacing w:before="200" w:after="120"/>
      </w:pPr>
      <w:r>
        <w:rPr>
          <w:rFonts w:ascii="宋体" w:hAnsi="宋体" w:eastAsia="宋体" w:cs="宋体"/>
          <w:b/>
          <w:bCs/>
          <w:sz w:val="26"/>
          <w:szCs w:val="26"/>
        </w:rPr>
        <w:t>2. 邯郸银行信用风险管理制度流程</w:t>
      </w:r>
    </w:p>
    <w:p w14:paraId="76447185">
      <w:pPr>
        <w:spacing w:before="80" w:after="80" w:line="360" w:lineRule="auto"/>
        <w:ind w:firstLine="480"/>
        <w:jc w:val="both"/>
      </w:pPr>
      <w:r>
        <w:rPr>
          <w:rFonts w:ascii="宋体" w:hAnsi="宋体" w:eastAsia="宋体" w:cs="宋体"/>
          <w:sz w:val="24"/>
          <w:szCs w:val="24"/>
        </w:rPr>
        <w:t>在制度建设方面，邯郸银行形成了以《邯郸银行全面风险管理办法》为统领，以授信管理、贷款“三查”、审贷分离、分级审批、贷放分离、实贷实付等为核心的制度体系。2021年起推行新增5000万元以上贷款预审制度，对大额授信实施更严格的审前把关。在流程执行方面，邯郸银行坚持授信业务全口径管理，单一集团客户授信集中度限额严于监管标准（集团客户≤10%、单一客户≤5%），建立行业与区域限额管理制度，每日监测不良贷款、欠息贷款、逾期贷款动态。</w:t>
      </w:r>
    </w:p>
    <w:p w14:paraId="2ADAD662">
      <w:pPr>
        <w:spacing w:before="200" w:after="120"/>
      </w:pPr>
      <w:r>
        <w:rPr>
          <w:rFonts w:ascii="宋体" w:hAnsi="宋体" w:eastAsia="宋体" w:cs="宋体"/>
          <w:b/>
          <w:bCs/>
          <w:sz w:val="26"/>
          <w:szCs w:val="26"/>
        </w:rPr>
        <w:t>3. 邯郸银行信用风险管理技术应用</w:t>
      </w:r>
    </w:p>
    <w:p w14:paraId="5A3123C5">
      <w:pPr>
        <w:spacing w:before="80" w:after="80" w:line="360" w:lineRule="auto"/>
        <w:ind w:firstLine="480"/>
        <w:jc w:val="both"/>
      </w:pPr>
      <w:r>
        <w:rPr>
          <w:rFonts w:ascii="宋体" w:hAnsi="宋体" w:eastAsia="宋体" w:cs="宋体"/>
          <w:sz w:val="24"/>
          <w:szCs w:val="24"/>
        </w:rPr>
        <w:t>在技术应用方面，邯郸银行自建资产负债管理系统（含头寸管理、流动性风险、利率风险模块），2023年流动性及利率风险子系统上线试运行。信息科技风险方面，银行建立了100余套业务信息系统，系统可用率2024年提升至99.99%，并连续多年获得省级科技监管评级2级最高档，同城“双活”及"多活"数据中心建设完成。然而，与大型银行相比，邯郸银行在信用风险量化技术方面仍存在明显差距，尚未建立成熟的内部信用评级系统，大数据风控系统建设仍处于初步阶段。</w:t>
      </w:r>
    </w:p>
    <w:p w14:paraId="5494E4A9">
      <w:pPr>
        <w:pStyle w:val="3"/>
      </w:pPr>
      <w:bookmarkStart w:id="12" w:name="_Toc357092082"/>
      <w:r>
        <w:rPr>
          <w:rFonts w:ascii="宋体" w:hAnsi="宋体" w:eastAsia="宋体" w:cs="宋体"/>
          <w:b/>
          <w:bCs/>
          <w:sz w:val="28"/>
          <w:szCs w:val="28"/>
        </w:rPr>
        <w:t>（三）邯郸银行信用风险管理成效</w:t>
      </w:r>
      <w:bookmarkEnd w:id="12"/>
    </w:p>
    <w:p w14:paraId="776DAD9A">
      <w:pPr>
        <w:spacing w:before="80" w:after="80" w:line="360" w:lineRule="auto"/>
        <w:ind w:firstLine="480"/>
        <w:jc w:val="both"/>
      </w:pPr>
      <w:r>
        <w:rPr>
          <w:rFonts w:ascii="宋体" w:hAnsi="宋体" w:eastAsia="宋体" w:cs="宋体"/>
          <w:sz w:val="24"/>
          <w:szCs w:val="24"/>
        </w:rPr>
        <w:t>从五年数据来看，邯郸银行信用风险管理取得了一定成效，主要体现在以下几个维度。</w:t>
      </w:r>
    </w:p>
    <w:p w14:paraId="588310C8">
      <w:pPr>
        <w:spacing w:before="60" w:after="120"/>
        <w:jc w:val="center"/>
      </w:pPr>
      <w:r>
        <w:rPr>
          <w:rFonts w:ascii="宋体" w:hAnsi="宋体" w:eastAsia="宋体" w:cs="宋体"/>
          <w:b/>
          <w:bCs/>
          <w:color w:val="404040"/>
          <w:sz w:val="22"/>
          <w:szCs w:val="22"/>
        </w:rPr>
        <w:t>表1  邯郸银行2020—2024年信用风险管理关键指标一览</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325"/>
        <w:gridCol w:w="1325"/>
        <w:gridCol w:w="1325"/>
        <w:gridCol w:w="1325"/>
        <w:gridCol w:w="1326"/>
      </w:tblGrid>
      <w:tr w14:paraId="7D51C642">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1C05C055">
            <w:pPr>
              <w:jc w:val="center"/>
            </w:pPr>
            <w:r>
              <w:rPr>
                <w:rFonts w:ascii="宋体" w:hAnsi="宋体" w:eastAsia="宋体" w:cs="宋体"/>
                <w:b/>
                <w:bCs/>
                <w:color w:val="FFFFFF"/>
                <w:sz w:val="22"/>
                <w:szCs w:val="22"/>
              </w:rPr>
              <w:t>指标</w:t>
            </w:r>
          </w:p>
        </w:tc>
        <w:tc>
          <w:tcPr>
            <w:tcW w:w="132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1366BED6">
            <w:pPr>
              <w:jc w:val="center"/>
            </w:pPr>
            <w:r>
              <w:rPr>
                <w:rFonts w:ascii="宋体" w:hAnsi="宋体" w:eastAsia="宋体" w:cs="宋体"/>
                <w:b/>
                <w:bCs/>
                <w:color w:val="FFFFFF"/>
                <w:sz w:val="22"/>
                <w:szCs w:val="22"/>
              </w:rPr>
              <w:t>2020年</w:t>
            </w:r>
          </w:p>
        </w:tc>
        <w:tc>
          <w:tcPr>
            <w:tcW w:w="132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0E9BC118">
            <w:pPr>
              <w:jc w:val="center"/>
            </w:pPr>
            <w:r>
              <w:rPr>
                <w:rFonts w:ascii="宋体" w:hAnsi="宋体" w:eastAsia="宋体" w:cs="宋体"/>
                <w:b/>
                <w:bCs/>
                <w:color w:val="FFFFFF"/>
                <w:sz w:val="22"/>
                <w:szCs w:val="22"/>
              </w:rPr>
              <w:t>2021年</w:t>
            </w:r>
          </w:p>
        </w:tc>
        <w:tc>
          <w:tcPr>
            <w:tcW w:w="132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3293D6C7">
            <w:pPr>
              <w:jc w:val="center"/>
            </w:pPr>
            <w:r>
              <w:rPr>
                <w:rFonts w:ascii="宋体" w:hAnsi="宋体" w:eastAsia="宋体" w:cs="宋体"/>
                <w:b/>
                <w:bCs/>
                <w:color w:val="FFFFFF"/>
                <w:sz w:val="22"/>
                <w:szCs w:val="22"/>
              </w:rPr>
              <w:t>2022年</w:t>
            </w:r>
          </w:p>
        </w:tc>
        <w:tc>
          <w:tcPr>
            <w:tcW w:w="132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59C921D">
            <w:pPr>
              <w:jc w:val="center"/>
            </w:pPr>
            <w:r>
              <w:rPr>
                <w:rFonts w:ascii="宋体" w:hAnsi="宋体" w:eastAsia="宋体" w:cs="宋体"/>
                <w:b/>
                <w:bCs/>
                <w:color w:val="FFFFFF"/>
                <w:sz w:val="22"/>
                <w:szCs w:val="22"/>
              </w:rPr>
              <w:t>2023年</w:t>
            </w:r>
          </w:p>
        </w:tc>
        <w:tc>
          <w:tcPr>
            <w:tcW w:w="1326"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5F4C5779">
            <w:pPr>
              <w:jc w:val="center"/>
            </w:pPr>
            <w:r>
              <w:rPr>
                <w:rFonts w:ascii="宋体" w:hAnsi="宋体" w:eastAsia="宋体" w:cs="宋体"/>
                <w:b/>
                <w:bCs/>
                <w:color w:val="FFFFFF"/>
                <w:sz w:val="22"/>
                <w:szCs w:val="22"/>
              </w:rPr>
              <w:t>2024年</w:t>
            </w:r>
          </w:p>
        </w:tc>
      </w:tr>
      <w:tr w14:paraId="7E4C0D85">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6F5FC31">
            <w:pPr>
              <w:jc w:val="left"/>
            </w:pPr>
            <w:r>
              <w:rPr>
                <w:rFonts w:ascii="宋体" w:hAnsi="宋体" w:eastAsia="宋体" w:cs="宋体"/>
                <w:b w:val="0"/>
                <w:bCs w:val="0"/>
                <w:color w:val="000000"/>
                <w:sz w:val="20"/>
                <w:szCs w:val="20"/>
              </w:rPr>
              <w:t>总资产（亿元）</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B9AF175">
            <w:pPr>
              <w:jc w:val="center"/>
            </w:pPr>
            <w:r>
              <w:rPr>
                <w:rFonts w:ascii="宋体" w:hAnsi="宋体" w:eastAsia="宋体" w:cs="宋体"/>
                <w:b w:val="0"/>
                <w:bCs w:val="0"/>
                <w:color w:val="000000"/>
                <w:sz w:val="20"/>
                <w:szCs w:val="20"/>
              </w:rPr>
              <w:t>1,809</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C1C74FC">
            <w:pPr>
              <w:jc w:val="center"/>
            </w:pPr>
            <w:r>
              <w:rPr>
                <w:rFonts w:ascii="宋体" w:hAnsi="宋体" w:eastAsia="宋体" w:cs="宋体"/>
                <w:b w:val="0"/>
                <w:bCs w:val="0"/>
                <w:color w:val="000000"/>
                <w:sz w:val="20"/>
                <w:szCs w:val="20"/>
              </w:rPr>
              <w:t>2,024</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0E055B8">
            <w:pPr>
              <w:jc w:val="center"/>
            </w:pPr>
            <w:r>
              <w:rPr>
                <w:rFonts w:ascii="宋体" w:hAnsi="宋体" w:eastAsia="宋体" w:cs="宋体"/>
                <w:b w:val="0"/>
                <w:bCs w:val="0"/>
                <w:color w:val="000000"/>
                <w:sz w:val="20"/>
                <w:szCs w:val="20"/>
              </w:rPr>
              <w:t>2,224</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ADC04A">
            <w:pPr>
              <w:jc w:val="center"/>
            </w:pPr>
            <w:r>
              <w:rPr>
                <w:rFonts w:ascii="宋体" w:hAnsi="宋体" w:eastAsia="宋体" w:cs="宋体"/>
                <w:b w:val="0"/>
                <w:bCs w:val="0"/>
                <w:color w:val="000000"/>
                <w:sz w:val="20"/>
                <w:szCs w:val="20"/>
              </w:rPr>
              <w:t>2,309</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22995A">
            <w:pPr>
              <w:jc w:val="center"/>
            </w:pPr>
            <w:r>
              <w:rPr>
                <w:rFonts w:ascii="宋体" w:hAnsi="宋体" w:eastAsia="宋体" w:cs="宋体"/>
                <w:b w:val="0"/>
                <w:bCs w:val="0"/>
                <w:color w:val="000000"/>
                <w:sz w:val="20"/>
                <w:szCs w:val="20"/>
              </w:rPr>
              <w:t>2,492</w:t>
            </w:r>
          </w:p>
        </w:tc>
      </w:tr>
      <w:tr w14:paraId="7FDCE572">
        <w:tc>
          <w:tcPr>
            <w:tcW w:w="2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B2E2FD0">
            <w:pPr>
              <w:jc w:val="left"/>
            </w:pPr>
            <w:r>
              <w:rPr>
                <w:rFonts w:ascii="宋体" w:hAnsi="宋体" w:eastAsia="宋体" w:cs="宋体"/>
                <w:b w:val="0"/>
                <w:bCs w:val="0"/>
                <w:color w:val="000000"/>
                <w:sz w:val="20"/>
                <w:szCs w:val="20"/>
              </w:rPr>
              <w:t>贷款余额（亿元）</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1E78BDA">
            <w:pPr>
              <w:jc w:val="center"/>
            </w:pPr>
            <w:r>
              <w:rPr>
                <w:rFonts w:ascii="宋体" w:hAnsi="宋体" w:eastAsia="宋体" w:cs="宋体"/>
                <w:b w:val="0"/>
                <w:bCs w:val="0"/>
                <w:color w:val="000000"/>
                <w:sz w:val="20"/>
                <w:szCs w:val="20"/>
              </w:rPr>
              <w:t>760</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870C406">
            <w:pPr>
              <w:jc w:val="center"/>
            </w:pPr>
            <w:r>
              <w:rPr>
                <w:rFonts w:ascii="宋体" w:hAnsi="宋体" w:eastAsia="宋体" w:cs="宋体"/>
                <w:b w:val="0"/>
                <w:bCs w:val="0"/>
                <w:color w:val="000000"/>
                <w:sz w:val="20"/>
                <w:szCs w:val="20"/>
              </w:rPr>
              <w:t>969</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AE86FBC">
            <w:pPr>
              <w:jc w:val="center"/>
            </w:pPr>
            <w:r>
              <w:rPr>
                <w:rFonts w:ascii="宋体" w:hAnsi="宋体" w:eastAsia="宋体" w:cs="宋体"/>
                <w:b w:val="0"/>
                <w:bCs w:val="0"/>
                <w:color w:val="000000"/>
                <w:sz w:val="20"/>
                <w:szCs w:val="20"/>
              </w:rPr>
              <w:t>1,185</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8903452">
            <w:pPr>
              <w:jc w:val="center"/>
            </w:pPr>
            <w:r>
              <w:rPr>
                <w:rFonts w:ascii="宋体" w:hAnsi="宋体" w:eastAsia="宋体" w:cs="宋体"/>
                <w:b w:val="0"/>
                <w:bCs w:val="0"/>
                <w:color w:val="000000"/>
                <w:sz w:val="20"/>
                <w:szCs w:val="20"/>
              </w:rPr>
              <w:t>1,252</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CF38679">
            <w:pPr>
              <w:jc w:val="center"/>
            </w:pPr>
            <w:r>
              <w:rPr>
                <w:rFonts w:ascii="宋体" w:hAnsi="宋体" w:eastAsia="宋体" w:cs="宋体"/>
                <w:b w:val="0"/>
                <w:bCs w:val="0"/>
                <w:color w:val="000000"/>
                <w:sz w:val="20"/>
                <w:szCs w:val="20"/>
              </w:rPr>
              <w:t>1,385</w:t>
            </w:r>
          </w:p>
        </w:tc>
      </w:tr>
      <w:tr w14:paraId="0335ACF9">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1B64E6">
            <w:pPr>
              <w:jc w:val="left"/>
            </w:pPr>
            <w:r>
              <w:rPr>
                <w:rFonts w:ascii="宋体" w:hAnsi="宋体" w:eastAsia="宋体" w:cs="宋体"/>
                <w:b w:val="0"/>
                <w:bCs w:val="0"/>
                <w:color w:val="000000"/>
                <w:sz w:val="20"/>
                <w:szCs w:val="20"/>
              </w:rPr>
              <w:t>不良贷款率（%）</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DC778C3">
            <w:pPr>
              <w:jc w:val="center"/>
            </w:pPr>
            <w:r>
              <w:rPr>
                <w:rFonts w:ascii="宋体" w:hAnsi="宋体" w:eastAsia="宋体" w:cs="宋体"/>
                <w:b w:val="0"/>
                <w:bCs w:val="0"/>
                <w:color w:val="000000"/>
                <w:sz w:val="20"/>
                <w:szCs w:val="20"/>
              </w:rPr>
              <w:t>1.90</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D1A749">
            <w:pPr>
              <w:jc w:val="center"/>
            </w:pPr>
            <w:r>
              <w:rPr>
                <w:rFonts w:ascii="宋体" w:hAnsi="宋体" w:eastAsia="宋体" w:cs="宋体"/>
                <w:b w:val="0"/>
                <w:bCs w:val="0"/>
                <w:color w:val="000000"/>
                <w:sz w:val="20"/>
                <w:szCs w:val="20"/>
              </w:rPr>
              <w:t>1.96</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19C7301">
            <w:pPr>
              <w:jc w:val="center"/>
            </w:pPr>
            <w:r>
              <w:rPr>
                <w:rFonts w:ascii="宋体" w:hAnsi="宋体" w:eastAsia="宋体" w:cs="宋体"/>
                <w:b w:val="0"/>
                <w:bCs w:val="0"/>
                <w:color w:val="000000"/>
                <w:sz w:val="20"/>
                <w:szCs w:val="20"/>
              </w:rPr>
              <w:t>1.90</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D747BD5">
            <w:pPr>
              <w:jc w:val="center"/>
            </w:pPr>
            <w:r>
              <w:rPr>
                <w:rFonts w:ascii="宋体" w:hAnsi="宋体" w:eastAsia="宋体" w:cs="宋体"/>
                <w:b w:val="0"/>
                <w:bCs w:val="0"/>
                <w:color w:val="000000"/>
                <w:sz w:val="20"/>
                <w:szCs w:val="20"/>
              </w:rPr>
              <w:t>2.24</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1A367B4">
            <w:pPr>
              <w:jc w:val="center"/>
            </w:pPr>
            <w:r>
              <w:rPr>
                <w:rFonts w:ascii="宋体" w:hAnsi="宋体" w:eastAsia="宋体" w:cs="宋体"/>
                <w:b w:val="0"/>
                <w:bCs w:val="0"/>
                <w:color w:val="000000"/>
                <w:sz w:val="20"/>
                <w:szCs w:val="20"/>
              </w:rPr>
              <w:t>1.38</w:t>
            </w:r>
          </w:p>
        </w:tc>
      </w:tr>
      <w:tr w14:paraId="484DC3D1">
        <w:tc>
          <w:tcPr>
            <w:tcW w:w="2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D279EFB">
            <w:pPr>
              <w:jc w:val="left"/>
            </w:pPr>
            <w:r>
              <w:rPr>
                <w:rFonts w:ascii="宋体" w:hAnsi="宋体" w:eastAsia="宋体" w:cs="宋体"/>
                <w:b w:val="0"/>
                <w:bCs w:val="0"/>
                <w:color w:val="000000"/>
                <w:sz w:val="20"/>
                <w:szCs w:val="20"/>
              </w:rPr>
              <w:t>关注类贷款占比（%）</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2D94217">
            <w:pPr>
              <w:jc w:val="center"/>
            </w:pPr>
            <w:r>
              <w:rPr>
                <w:rFonts w:ascii="宋体" w:hAnsi="宋体" w:eastAsia="宋体" w:cs="宋体"/>
                <w:b w:val="0"/>
                <w:bCs w:val="0"/>
                <w:color w:val="000000"/>
                <w:sz w:val="20"/>
                <w:szCs w:val="20"/>
              </w:rPr>
              <w:t>3.54</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D9423DA">
            <w:pPr>
              <w:jc w:val="center"/>
            </w:pPr>
            <w:r>
              <w:rPr>
                <w:rFonts w:ascii="宋体" w:hAnsi="宋体" w:eastAsia="宋体" w:cs="宋体"/>
                <w:b w:val="0"/>
                <w:bCs w:val="0"/>
                <w:color w:val="000000"/>
                <w:sz w:val="20"/>
                <w:szCs w:val="20"/>
              </w:rPr>
              <w:t>4.60</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78B14E6">
            <w:pPr>
              <w:jc w:val="center"/>
            </w:pPr>
            <w:r>
              <w:rPr>
                <w:rFonts w:ascii="宋体" w:hAnsi="宋体" w:eastAsia="宋体" w:cs="宋体"/>
                <w:b w:val="0"/>
                <w:bCs w:val="0"/>
                <w:color w:val="000000"/>
                <w:sz w:val="20"/>
                <w:szCs w:val="20"/>
              </w:rPr>
              <w:t>8.04</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B007E26">
            <w:pPr>
              <w:jc w:val="center"/>
            </w:pPr>
            <w:r>
              <w:rPr>
                <w:rFonts w:ascii="宋体" w:hAnsi="宋体" w:eastAsia="宋体" w:cs="宋体"/>
                <w:b w:val="0"/>
                <w:bCs w:val="0"/>
                <w:color w:val="000000"/>
                <w:sz w:val="20"/>
                <w:szCs w:val="20"/>
              </w:rPr>
              <w:t>10.07</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5385917">
            <w:pPr>
              <w:jc w:val="center"/>
            </w:pPr>
            <w:r>
              <w:rPr>
                <w:rFonts w:ascii="宋体" w:hAnsi="宋体" w:eastAsia="宋体" w:cs="宋体"/>
                <w:b w:val="0"/>
                <w:bCs w:val="0"/>
                <w:color w:val="000000"/>
                <w:sz w:val="20"/>
                <w:szCs w:val="20"/>
              </w:rPr>
              <w:t>8.90</w:t>
            </w:r>
          </w:p>
        </w:tc>
      </w:tr>
      <w:tr w14:paraId="5695976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AB9178A">
            <w:pPr>
              <w:jc w:val="left"/>
            </w:pPr>
            <w:r>
              <w:rPr>
                <w:rFonts w:ascii="宋体" w:hAnsi="宋体" w:eastAsia="宋体" w:cs="宋体"/>
                <w:b w:val="0"/>
                <w:bCs w:val="0"/>
                <w:color w:val="000000"/>
                <w:sz w:val="20"/>
                <w:szCs w:val="20"/>
              </w:rPr>
              <w:t>拨备覆盖率（%）</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E772D6E">
            <w:pPr>
              <w:jc w:val="center"/>
            </w:pPr>
            <w:r>
              <w:rPr>
                <w:rFonts w:ascii="宋体" w:hAnsi="宋体" w:eastAsia="宋体" w:cs="宋体"/>
                <w:b w:val="0"/>
                <w:bCs w:val="0"/>
                <w:color w:val="000000"/>
                <w:sz w:val="20"/>
                <w:szCs w:val="20"/>
              </w:rPr>
              <w:t>175.63</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0914DC9">
            <w:pPr>
              <w:jc w:val="center"/>
            </w:pPr>
            <w:r>
              <w:rPr>
                <w:rFonts w:ascii="宋体" w:hAnsi="宋体" w:eastAsia="宋体" w:cs="宋体"/>
                <w:b w:val="0"/>
                <w:bCs w:val="0"/>
                <w:color w:val="000000"/>
                <w:sz w:val="20"/>
                <w:szCs w:val="20"/>
              </w:rPr>
              <w:t>182.26</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6FEA7D">
            <w:pPr>
              <w:jc w:val="center"/>
            </w:pPr>
            <w:r>
              <w:rPr>
                <w:rFonts w:ascii="宋体" w:hAnsi="宋体" w:eastAsia="宋体" w:cs="宋体"/>
                <w:b w:val="0"/>
                <w:bCs w:val="0"/>
                <w:color w:val="000000"/>
                <w:sz w:val="20"/>
                <w:szCs w:val="20"/>
              </w:rPr>
              <w:t>154.73</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5B6CC9C">
            <w:pPr>
              <w:jc w:val="center"/>
            </w:pPr>
            <w:r>
              <w:rPr>
                <w:rFonts w:ascii="宋体" w:hAnsi="宋体" w:eastAsia="宋体" w:cs="宋体"/>
                <w:b w:val="0"/>
                <w:bCs w:val="0"/>
                <w:color w:val="000000"/>
                <w:sz w:val="20"/>
                <w:szCs w:val="20"/>
              </w:rPr>
              <w:t>136.84</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743775">
            <w:pPr>
              <w:jc w:val="center"/>
            </w:pPr>
            <w:r>
              <w:rPr>
                <w:rFonts w:ascii="宋体" w:hAnsi="宋体" w:eastAsia="宋体" w:cs="宋体"/>
                <w:b w:val="0"/>
                <w:bCs w:val="0"/>
                <w:color w:val="000000"/>
                <w:sz w:val="20"/>
                <w:szCs w:val="20"/>
              </w:rPr>
              <w:t>204.35</w:t>
            </w:r>
          </w:p>
        </w:tc>
      </w:tr>
      <w:tr w14:paraId="7FCBAB05">
        <w:tc>
          <w:tcPr>
            <w:tcW w:w="2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00FF7FC">
            <w:pPr>
              <w:jc w:val="left"/>
            </w:pPr>
            <w:r>
              <w:rPr>
                <w:rFonts w:ascii="宋体" w:hAnsi="宋体" w:eastAsia="宋体" w:cs="宋体"/>
                <w:b w:val="0"/>
                <w:bCs w:val="0"/>
                <w:color w:val="000000"/>
                <w:sz w:val="20"/>
                <w:szCs w:val="20"/>
              </w:rPr>
              <w:t>拨贷比（%）</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C048669">
            <w:pPr>
              <w:jc w:val="center"/>
            </w:pPr>
            <w:r>
              <w:rPr>
                <w:rFonts w:ascii="宋体" w:hAnsi="宋体" w:eastAsia="宋体" w:cs="宋体"/>
                <w:b w:val="0"/>
                <w:bCs w:val="0"/>
                <w:color w:val="000000"/>
                <w:sz w:val="20"/>
                <w:szCs w:val="20"/>
              </w:rPr>
              <w:t>3.34</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673FC43">
            <w:pPr>
              <w:jc w:val="center"/>
            </w:pPr>
            <w:r>
              <w:rPr>
                <w:rFonts w:ascii="宋体" w:hAnsi="宋体" w:eastAsia="宋体" w:cs="宋体"/>
                <w:b w:val="0"/>
                <w:bCs w:val="0"/>
                <w:color w:val="000000"/>
                <w:sz w:val="20"/>
                <w:szCs w:val="20"/>
              </w:rPr>
              <w:t>3.57</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B330788">
            <w:pPr>
              <w:jc w:val="center"/>
            </w:pPr>
            <w:r>
              <w:rPr>
                <w:rFonts w:ascii="宋体" w:hAnsi="宋体" w:eastAsia="宋体" w:cs="宋体"/>
                <w:b w:val="0"/>
                <w:bCs w:val="0"/>
                <w:color w:val="000000"/>
                <w:sz w:val="20"/>
                <w:szCs w:val="20"/>
              </w:rPr>
              <w:t>2.95</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B77559F">
            <w:pPr>
              <w:jc w:val="center"/>
            </w:pPr>
            <w:r>
              <w:rPr>
                <w:rFonts w:ascii="宋体" w:hAnsi="宋体" w:eastAsia="宋体" w:cs="宋体"/>
                <w:b w:val="0"/>
                <w:bCs w:val="0"/>
                <w:color w:val="000000"/>
                <w:sz w:val="20"/>
                <w:szCs w:val="20"/>
              </w:rPr>
              <w:t>3.06</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3441387">
            <w:pPr>
              <w:jc w:val="center"/>
            </w:pPr>
            <w:r>
              <w:rPr>
                <w:rFonts w:ascii="宋体" w:hAnsi="宋体" w:eastAsia="宋体" w:cs="宋体"/>
                <w:b w:val="0"/>
                <w:bCs w:val="0"/>
                <w:color w:val="000000"/>
                <w:sz w:val="20"/>
                <w:szCs w:val="20"/>
              </w:rPr>
              <w:t>2.82</w:t>
            </w:r>
          </w:p>
        </w:tc>
      </w:tr>
      <w:tr w14:paraId="51F929DE">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CB0D00D">
            <w:pPr>
              <w:jc w:val="left"/>
            </w:pPr>
            <w:r>
              <w:rPr>
                <w:rFonts w:ascii="宋体" w:hAnsi="宋体" w:eastAsia="宋体" w:cs="宋体"/>
                <w:b w:val="0"/>
                <w:bCs w:val="0"/>
                <w:color w:val="000000"/>
                <w:sz w:val="20"/>
                <w:szCs w:val="20"/>
              </w:rPr>
              <w:t>资本充足率（%）</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2B5E37F">
            <w:pPr>
              <w:jc w:val="center"/>
            </w:pPr>
            <w:r>
              <w:rPr>
                <w:rFonts w:ascii="宋体" w:hAnsi="宋体" w:eastAsia="宋体" w:cs="宋体"/>
                <w:b w:val="0"/>
                <w:bCs w:val="0"/>
                <w:color w:val="000000"/>
                <w:sz w:val="20"/>
                <w:szCs w:val="20"/>
              </w:rPr>
              <w:t>11.22</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E3EE0A6">
            <w:pPr>
              <w:jc w:val="center"/>
            </w:pPr>
            <w:r>
              <w:rPr>
                <w:rFonts w:ascii="宋体" w:hAnsi="宋体" w:eastAsia="宋体" w:cs="宋体"/>
                <w:b w:val="0"/>
                <w:bCs w:val="0"/>
                <w:color w:val="000000"/>
                <w:sz w:val="20"/>
                <w:szCs w:val="20"/>
              </w:rPr>
              <w:t>13.15</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2AED717">
            <w:pPr>
              <w:jc w:val="center"/>
            </w:pPr>
            <w:r>
              <w:rPr>
                <w:rFonts w:ascii="宋体" w:hAnsi="宋体" w:eastAsia="宋体" w:cs="宋体"/>
                <w:b w:val="0"/>
                <w:bCs w:val="0"/>
                <w:color w:val="000000"/>
                <w:sz w:val="20"/>
                <w:szCs w:val="20"/>
              </w:rPr>
              <w:t>12.91</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E13D9DE">
            <w:pPr>
              <w:jc w:val="center"/>
            </w:pPr>
            <w:r>
              <w:rPr>
                <w:rFonts w:ascii="宋体" w:hAnsi="宋体" w:eastAsia="宋体" w:cs="宋体"/>
                <w:b w:val="0"/>
                <w:bCs w:val="0"/>
                <w:color w:val="000000"/>
                <w:sz w:val="20"/>
                <w:szCs w:val="20"/>
              </w:rPr>
              <w:t>13.07</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B4BBCEE">
            <w:pPr>
              <w:jc w:val="center"/>
            </w:pPr>
            <w:r>
              <w:rPr>
                <w:rFonts w:ascii="宋体" w:hAnsi="宋体" w:eastAsia="宋体" w:cs="宋体"/>
                <w:b w:val="0"/>
                <w:bCs w:val="0"/>
                <w:color w:val="000000"/>
                <w:sz w:val="20"/>
                <w:szCs w:val="20"/>
              </w:rPr>
              <w:t>13.88</w:t>
            </w:r>
          </w:p>
        </w:tc>
      </w:tr>
      <w:tr w14:paraId="22F88AB4">
        <w:tc>
          <w:tcPr>
            <w:tcW w:w="2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10F130F">
            <w:pPr>
              <w:jc w:val="left"/>
            </w:pPr>
            <w:r>
              <w:rPr>
                <w:rFonts w:ascii="宋体" w:hAnsi="宋体" w:eastAsia="宋体" w:cs="宋体"/>
                <w:b w:val="0"/>
                <w:bCs w:val="0"/>
                <w:color w:val="000000"/>
                <w:sz w:val="20"/>
                <w:szCs w:val="20"/>
              </w:rPr>
              <w:t>核心一级资本充足率（%）</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3F272AB">
            <w:pPr>
              <w:jc w:val="center"/>
            </w:pPr>
            <w:r>
              <w:rPr>
                <w:rFonts w:ascii="宋体" w:hAnsi="宋体" w:eastAsia="宋体" w:cs="宋体"/>
                <w:b w:val="0"/>
                <w:bCs w:val="0"/>
                <w:color w:val="000000"/>
                <w:sz w:val="20"/>
                <w:szCs w:val="20"/>
              </w:rPr>
              <w:t>8.64</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1D068F7">
            <w:pPr>
              <w:jc w:val="center"/>
            </w:pPr>
            <w:r>
              <w:rPr>
                <w:rFonts w:ascii="宋体" w:hAnsi="宋体" w:eastAsia="宋体" w:cs="宋体"/>
                <w:b w:val="0"/>
                <w:bCs w:val="0"/>
                <w:color w:val="000000"/>
                <w:sz w:val="20"/>
                <w:szCs w:val="20"/>
              </w:rPr>
              <w:t>9.33</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DBD55BB">
            <w:pPr>
              <w:jc w:val="center"/>
            </w:pPr>
            <w:r>
              <w:rPr>
                <w:rFonts w:ascii="宋体" w:hAnsi="宋体" w:eastAsia="宋体" w:cs="宋体"/>
                <w:b w:val="0"/>
                <w:bCs w:val="0"/>
                <w:color w:val="000000"/>
                <w:sz w:val="20"/>
                <w:szCs w:val="20"/>
              </w:rPr>
              <w:t>9.67</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A5C853F">
            <w:pPr>
              <w:jc w:val="center"/>
            </w:pPr>
            <w:r>
              <w:rPr>
                <w:rFonts w:ascii="宋体" w:hAnsi="宋体" w:eastAsia="宋体" w:cs="宋体"/>
                <w:b w:val="0"/>
                <w:bCs w:val="0"/>
                <w:color w:val="000000"/>
                <w:sz w:val="20"/>
                <w:szCs w:val="20"/>
              </w:rPr>
              <w:t>9.92</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4340860">
            <w:pPr>
              <w:jc w:val="center"/>
            </w:pPr>
            <w:r>
              <w:rPr>
                <w:rFonts w:ascii="宋体" w:hAnsi="宋体" w:eastAsia="宋体" w:cs="宋体"/>
                <w:b w:val="0"/>
                <w:bCs w:val="0"/>
                <w:color w:val="000000"/>
                <w:sz w:val="20"/>
                <w:szCs w:val="20"/>
              </w:rPr>
              <w:t>10.65</w:t>
            </w:r>
          </w:p>
        </w:tc>
      </w:tr>
      <w:tr w14:paraId="6F9EE2AF">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244CD06">
            <w:pPr>
              <w:jc w:val="left"/>
            </w:pPr>
            <w:r>
              <w:rPr>
                <w:rFonts w:ascii="宋体" w:hAnsi="宋体" w:eastAsia="宋体" w:cs="宋体"/>
                <w:b w:val="0"/>
                <w:bCs w:val="0"/>
                <w:color w:val="000000"/>
                <w:sz w:val="20"/>
                <w:szCs w:val="20"/>
              </w:rPr>
              <w:t>流动性比例（%）</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E60F2F8">
            <w:pPr>
              <w:jc w:val="center"/>
            </w:pPr>
            <w:r>
              <w:rPr>
                <w:rFonts w:ascii="宋体" w:hAnsi="宋体" w:eastAsia="宋体" w:cs="宋体"/>
                <w:b w:val="0"/>
                <w:bCs w:val="0"/>
                <w:color w:val="000000"/>
                <w:sz w:val="20"/>
                <w:szCs w:val="20"/>
              </w:rPr>
              <w:t>66.11</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69F9C6">
            <w:pPr>
              <w:jc w:val="center"/>
            </w:pPr>
            <w:r>
              <w:rPr>
                <w:rFonts w:ascii="宋体" w:hAnsi="宋体" w:eastAsia="宋体" w:cs="宋体"/>
                <w:b w:val="0"/>
                <w:bCs w:val="0"/>
                <w:color w:val="000000"/>
                <w:sz w:val="20"/>
                <w:szCs w:val="20"/>
              </w:rPr>
              <w:t>76.40</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7080D3">
            <w:pPr>
              <w:jc w:val="center"/>
            </w:pPr>
            <w:r>
              <w:rPr>
                <w:rFonts w:ascii="宋体" w:hAnsi="宋体" w:eastAsia="宋体" w:cs="宋体"/>
                <w:b w:val="0"/>
                <w:bCs w:val="0"/>
                <w:color w:val="000000"/>
                <w:sz w:val="20"/>
                <w:szCs w:val="20"/>
              </w:rPr>
              <w:t>83.25</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9313A91">
            <w:pPr>
              <w:jc w:val="center"/>
            </w:pPr>
            <w:r>
              <w:rPr>
                <w:rFonts w:ascii="宋体" w:hAnsi="宋体" w:eastAsia="宋体" w:cs="宋体"/>
                <w:b w:val="0"/>
                <w:bCs w:val="0"/>
                <w:color w:val="000000"/>
                <w:sz w:val="20"/>
                <w:szCs w:val="20"/>
              </w:rPr>
              <w:t>101.84</w:t>
            </w:r>
          </w:p>
        </w:tc>
        <w:tc>
          <w:tcPr>
            <w:tcW w:w="132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8A6ADB">
            <w:pPr>
              <w:jc w:val="center"/>
            </w:pPr>
            <w:r>
              <w:rPr>
                <w:rFonts w:ascii="宋体" w:hAnsi="宋体" w:eastAsia="宋体" w:cs="宋体"/>
                <w:b w:val="0"/>
                <w:bCs w:val="0"/>
                <w:color w:val="000000"/>
                <w:sz w:val="20"/>
                <w:szCs w:val="20"/>
              </w:rPr>
              <w:t>112.07</w:t>
            </w:r>
          </w:p>
        </w:tc>
      </w:tr>
      <w:tr w14:paraId="43760C15">
        <w:tc>
          <w:tcPr>
            <w:tcW w:w="24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ECA0B40">
            <w:pPr>
              <w:jc w:val="left"/>
            </w:pPr>
            <w:r>
              <w:rPr>
                <w:rFonts w:ascii="宋体" w:hAnsi="宋体" w:eastAsia="宋体" w:cs="宋体"/>
                <w:b w:val="0"/>
                <w:bCs w:val="0"/>
                <w:color w:val="000000"/>
                <w:sz w:val="20"/>
                <w:szCs w:val="20"/>
              </w:rPr>
              <w:t>净利润（千元）</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5090FD1">
            <w:pPr>
              <w:jc w:val="center"/>
            </w:pPr>
            <w:r>
              <w:rPr>
                <w:rFonts w:ascii="宋体" w:hAnsi="宋体" w:eastAsia="宋体" w:cs="宋体"/>
                <w:b w:val="0"/>
                <w:bCs w:val="0"/>
                <w:color w:val="000000"/>
                <w:sz w:val="20"/>
                <w:szCs w:val="20"/>
              </w:rPr>
              <w:t>846,856</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0E7A5AA">
            <w:pPr>
              <w:jc w:val="center"/>
            </w:pPr>
            <w:r>
              <w:rPr>
                <w:rFonts w:ascii="宋体" w:hAnsi="宋体" w:eastAsia="宋体" w:cs="宋体"/>
                <w:b w:val="0"/>
                <w:bCs w:val="0"/>
                <w:color w:val="000000"/>
                <w:sz w:val="20"/>
                <w:szCs w:val="20"/>
              </w:rPr>
              <w:t>1,010,400</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77D9611">
            <w:pPr>
              <w:jc w:val="center"/>
            </w:pPr>
            <w:r>
              <w:rPr>
                <w:rFonts w:ascii="宋体" w:hAnsi="宋体" w:eastAsia="宋体" w:cs="宋体"/>
                <w:b w:val="0"/>
                <w:bCs w:val="0"/>
                <w:color w:val="000000"/>
                <w:sz w:val="20"/>
                <w:szCs w:val="20"/>
              </w:rPr>
              <w:t>1,497,224</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E5BEB34">
            <w:pPr>
              <w:jc w:val="center"/>
            </w:pPr>
            <w:r>
              <w:rPr>
                <w:rFonts w:ascii="宋体" w:hAnsi="宋体" w:eastAsia="宋体" w:cs="宋体"/>
                <w:b w:val="0"/>
                <w:bCs w:val="0"/>
                <w:color w:val="000000"/>
                <w:sz w:val="20"/>
                <w:szCs w:val="20"/>
              </w:rPr>
              <w:t>621,401</w:t>
            </w:r>
          </w:p>
        </w:tc>
        <w:tc>
          <w:tcPr>
            <w:tcW w:w="132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50ED218">
            <w:pPr>
              <w:jc w:val="center"/>
            </w:pPr>
            <w:r>
              <w:rPr>
                <w:rFonts w:ascii="宋体" w:hAnsi="宋体" w:eastAsia="宋体" w:cs="宋体"/>
                <w:b w:val="0"/>
                <w:bCs w:val="0"/>
                <w:color w:val="000000"/>
                <w:sz w:val="20"/>
                <w:szCs w:val="20"/>
              </w:rPr>
              <w:t>800,604</w:t>
            </w:r>
          </w:p>
        </w:tc>
      </w:tr>
    </w:tbl>
    <w:p w14:paraId="0E406A6B">
      <w:pPr>
        <w:spacing w:before="80" w:after="120"/>
      </w:pPr>
      <w:r>
        <w:rPr>
          <w:rFonts w:ascii="宋体" w:hAnsi="宋体" w:eastAsia="宋体" w:cs="宋体"/>
          <w:i/>
          <w:iCs/>
          <w:color w:val="666666"/>
          <w:sz w:val="20"/>
          <w:szCs w:val="20"/>
        </w:rPr>
        <w:t>资料来源：邯郸银行2020—2024年年度报告，作者整理。</w:t>
      </w:r>
    </w:p>
    <w:p w14:paraId="2DC32F1D">
      <w:pPr>
        <w:spacing w:before="160" w:after="80"/>
        <w:jc w:val="center"/>
      </w:pPr>
      <w:r>
        <w:drawing>
          <wp:inline distT="0" distB="0" distL="0" distR="0">
            <wp:extent cx="5238750" cy="3143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a:stretch>
                      <a:fillRect/>
                    </a:stretch>
                  </pic:blipFill>
                  <pic:spPr>
                    <a:xfrm>
                      <a:off x="0" y="0"/>
                      <a:ext cx="5238750" cy="3143250"/>
                    </a:xfrm>
                    <a:prstGeom prst="rect">
                      <a:avLst/>
                    </a:prstGeom>
                  </pic:spPr>
                </pic:pic>
              </a:graphicData>
            </a:graphic>
          </wp:inline>
        </w:drawing>
      </w:r>
    </w:p>
    <w:p w14:paraId="3188760B">
      <w:pPr>
        <w:spacing w:before="60" w:after="120"/>
        <w:jc w:val="center"/>
      </w:pPr>
      <w:r>
        <w:rPr>
          <w:rFonts w:ascii="宋体" w:hAnsi="宋体" w:eastAsia="宋体" w:cs="宋体"/>
          <w:b/>
          <w:bCs/>
          <w:color w:val="404040"/>
          <w:sz w:val="22"/>
          <w:szCs w:val="22"/>
        </w:rPr>
        <w:t>图1  邯郸银行2020—2024年总资产与贷款余额变化（亿元）</w:t>
      </w:r>
    </w:p>
    <w:p w14:paraId="7E297E1E">
      <w:pPr>
        <w:spacing w:before="80" w:after="80" w:line="360" w:lineRule="auto"/>
        <w:ind w:firstLine="480"/>
        <w:jc w:val="both"/>
      </w:pPr>
      <w:r>
        <w:rPr>
          <w:rFonts w:ascii="宋体" w:hAnsi="宋体" w:eastAsia="宋体" w:cs="宋体"/>
          <w:sz w:val="24"/>
          <w:szCs w:val="24"/>
        </w:rPr>
        <w:t>由图1可见，邯郸银行总资产规模从2020年末的1,809亿元持续增长至2024年末的2,492亿元，年均复合增长率约8.3%；贷款余额同期从760亿元增长至1,385亿元，年均增速16.2%，反映出该行支持地方实体经济的力度持续加大。值得注意的是，贷款余额的增长速度明显快于总资产增速，贷款在总资产中的占比呈上升趋势，表明信贷业务在全行资产配置中的地位进一步强化，但这也意味着信用风险敞口的相应扩大。</w:t>
      </w:r>
    </w:p>
    <w:p w14:paraId="3C4A45BD">
      <w:pPr>
        <w:spacing w:before="160" w:after="80"/>
        <w:jc w:val="center"/>
      </w:pPr>
      <w:r>
        <w:drawing>
          <wp:inline distT="0" distB="0" distL="0" distR="0">
            <wp:extent cx="5238750" cy="3143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srcRect/>
                    <a:stretch>
                      <a:fillRect/>
                    </a:stretch>
                  </pic:blipFill>
                  <pic:spPr>
                    <a:xfrm>
                      <a:off x="0" y="0"/>
                      <a:ext cx="5238750" cy="3143250"/>
                    </a:xfrm>
                    <a:prstGeom prst="rect">
                      <a:avLst/>
                    </a:prstGeom>
                  </pic:spPr>
                </pic:pic>
              </a:graphicData>
            </a:graphic>
          </wp:inline>
        </w:drawing>
      </w:r>
    </w:p>
    <w:p w14:paraId="7A5B7208">
      <w:pPr>
        <w:spacing w:before="60" w:after="120"/>
        <w:jc w:val="center"/>
      </w:pPr>
      <w:r>
        <w:rPr>
          <w:rFonts w:ascii="宋体" w:hAnsi="宋体" w:eastAsia="宋体" w:cs="宋体"/>
          <w:b/>
          <w:bCs/>
          <w:color w:val="404040"/>
          <w:sz w:val="22"/>
          <w:szCs w:val="22"/>
        </w:rPr>
        <w:t>图2  邯郸银行2020—2024年不良贷款率与关注类贷款占比变化</w:t>
      </w:r>
    </w:p>
    <w:p w14:paraId="091FA9BB">
      <w:pPr>
        <w:spacing w:before="80" w:after="80" w:line="360" w:lineRule="auto"/>
        <w:ind w:firstLine="480"/>
        <w:jc w:val="both"/>
      </w:pPr>
      <w:r>
        <w:rPr>
          <w:rFonts w:ascii="宋体" w:hAnsi="宋体" w:eastAsia="宋体" w:cs="宋体"/>
          <w:sz w:val="24"/>
          <w:szCs w:val="24"/>
        </w:rPr>
        <w:t>图2呈现了邯郸银行核心资产质量指标的五年演变轨迹。不良贷款率从2020年的1.90%经历小幅波动后，于2023年攀升至五年最高点2.24%，2024年通过加大不良资产处置力度大幅降至1.38%，创近年新低。然而，关注类贷款占比的变化趋势更值得警惕——该指标从2020年的3.54%持续攀升至2023年的10.07%，五年累计增幅高达184.5%，表明大量贷款在下滑为不良贷款之前长期滞留于“关注区间”，潜在信用风险不容低估。2024年关注类贷款占比有所回落至8.90%，但仍处于历史较高水平。</w:t>
      </w:r>
    </w:p>
    <w:p w14:paraId="16BCF52B">
      <w:pPr>
        <w:spacing w:before="160" w:after="80"/>
        <w:jc w:val="center"/>
      </w:pPr>
      <w:r>
        <w:drawing>
          <wp:inline distT="0" distB="0" distL="0" distR="0">
            <wp:extent cx="5238750" cy="31432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srcRect/>
                    <a:stretch>
                      <a:fillRect/>
                    </a:stretch>
                  </pic:blipFill>
                  <pic:spPr>
                    <a:xfrm>
                      <a:off x="0" y="0"/>
                      <a:ext cx="5238750" cy="3143250"/>
                    </a:xfrm>
                    <a:prstGeom prst="rect">
                      <a:avLst/>
                    </a:prstGeom>
                  </pic:spPr>
                </pic:pic>
              </a:graphicData>
            </a:graphic>
          </wp:inline>
        </w:drawing>
      </w:r>
    </w:p>
    <w:p w14:paraId="7360BA79">
      <w:pPr>
        <w:spacing w:before="60" w:after="120"/>
        <w:jc w:val="center"/>
      </w:pPr>
      <w:r>
        <w:rPr>
          <w:rFonts w:ascii="宋体" w:hAnsi="宋体" w:eastAsia="宋体" w:cs="宋体"/>
          <w:b/>
          <w:bCs/>
          <w:color w:val="404040"/>
          <w:sz w:val="22"/>
          <w:szCs w:val="22"/>
        </w:rPr>
        <w:t>图3  邯郸银行2020—2024年拨备覆盖率与资本充足率变化</w:t>
      </w:r>
    </w:p>
    <w:p w14:paraId="53CE600B">
      <w:pPr>
        <w:spacing w:before="80" w:after="80" w:line="360" w:lineRule="auto"/>
        <w:ind w:firstLine="480"/>
        <w:jc w:val="both"/>
      </w:pPr>
      <w:r>
        <w:rPr>
          <w:rFonts w:ascii="宋体" w:hAnsi="宋体" w:eastAsia="宋体" w:cs="宋体"/>
          <w:sz w:val="24"/>
          <w:szCs w:val="24"/>
        </w:rPr>
        <w:t>从图3可以观察到两项核心风险缓冲指标的对比变化。拨备覆盖率在2020—2021年维持在175%—182%的较高水平后，2022—2023年持续下滑，至2023年末已逼近150%的监管红线（136.84%低于监管要求），风险信号较为明显。2024年通过加大核销和批量转让力度，拨备覆盖率大幅回升至204.35%，风险抵补能力明显增强。与此同时，资本充足率则保持稳定上升态势，从2020年的11.22%稳步提升至2024年的13.88%，始终高于10.5%的监管下限，资本安全垫持续加厚。</w:t>
      </w:r>
    </w:p>
    <w:p w14:paraId="389A2FAB">
      <w:pPr>
        <w:spacing w:before="160" w:after="80"/>
        <w:jc w:val="center"/>
      </w:pPr>
      <w:r>
        <w:drawing>
          <wp:inline distT="0" distB="0" distL="0" distR="0">
            <wp:extent cx="5238750" cy="3143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srcRect/>
                    <a:stretch>
                      <a:fillRect/>
                    </a:stretch>
                  </pic:blipFill>
                  <pic:spPr>
                    <a:xfrm>
                      <a:off x="0" y="0"/>
                      <a:ext cx="5238750" cy="3143250"/>
                    </a:xfrm>
                    <a:prstGeom prst="rect">
                      <a:avLst/>
                    </a:prstGeom>
                  </pic:spPr>
                </pic:pic>
              </a:graphicData>
            </a:graphic>
          </wp:inline>
        </w:drawing>
      </w:r>
    </w:p>
    <w:p w14:paraId="476C7E26">
      <w:pPr>
        <w:spacing w:before="60" w:after="120"/>
        <w:jc w:val="center"/>
      </w:pPr>
      <w:r>
        <w:rPr>
          <w:rFonts w:ascii="宋体" w:hAnsi="宋体" w:eastAsia="宋体" w:cs="宋体"/>
          <w:b/>
          <w:bCs/>
          <w:color w:val="404040"/>
          <w:sz w:val="22"/>
          <w:szCs w:val="22"/>
        </w:rPr>
        <w:t>图4  邯郸银行2020—2024年流动性比例与核心一级资本充足率变化</w:t>
      </w:r>
    </w:p>
    <w:p w14:paraId="23450654">
      <w:pPr>
        <w:spacing w:before="80" w:after="80" w:line="360" w:lineRule="auto"/>
        <w:ind w:firstLine="480"/>
        <w:jc w:val="both"/>
      </w:pPr>
      <w:r>
        <w:rPr>
          <w:rFonts w:ascii="宋体" w:hAnsi="宋体" w:eastAsia="宋体" w:cs="宋体"/>
          <w:sz w:val="24"/>
          <w:szCs w:val="24"/>
        </w:rPr>
        <w:t>图4显示，邯郸银行流动性比例和核心一级资本充足率均呈持续上升趋势。流动性比例从2020年的66.11%提升至2024年的112.07%，大幅超过25%的监管下限，流动性风险总体可控。核心一级资本充足率从8.64%稳步提升至10.65%，超出7.5%监管要求约3个百分点，体现了邯郸银行近年来在资本补充方面的持续努力，增资扩股和盈利留存有效夯实了资本基础。</w:t>
      </w:r>
    </w:p>
    <w:p w14:paraId="15A99947">
      <w:pPr>
        <w:spacing w:before="80" w:after="80" w:line="360" w:lineRule="auto"/>
        <w:ind w:firstLine="480"/>
        <w:jc w:val="both"/>
      </w:pPr>
      <w:r>
        <w:rPr>
          <w:rFonts w:ascii="宋体" w:hAnsi="宋体" w:eastAsia="宋体" w:cs="宋体"/>
          <w:sz w:val="24"/>
          <w:szCs w:val="24"/>
        </w:rPr>
        <w:t>综合上述图表数据分析，邯郸银行在规模扩张、资本充足和流动性管理方面取得了显著进步；但2022—2023年拨备覆盖率持续下滑逼近监管红线，关注类贷款长期高位运行，表明信用风险管理在精细化程度和早期预警方面仍有重要改进空间。</w:t>
      </w:r>
    </w:p>
    <w:p w14:paraId="606F38AF">
      <w:r>
        <w:br w:type="page"/>
      </w:r>
    </w:p>
    <w:p w14:paraId="5526649E">
      <w:pPr>
        <w:pStyle w:val="2"/>
      </w:pPr>
      <w:bookmarkStart w:id="13" w:name="_Toc1577312456"/>
      <w:r>
        <w:rPr>
          <w:rFonts w:ascii="宋体" w:hAnsi="宋体" w:eastAsia="宋体" w:cs="宋体"/>
          <w:b/>
          <w:bCs/>
          <w:sz w:val="32"/>
          <w:szCs w:val="32"/>
        </w:rPr>
        <w:t>四、邯郸银行信用风险管理存在的问题</w:t>
      </w:r>
      <w:bookmarkEnd w:id="13"/>
    </w:p>
    <w:p w14:paraId="3C141AC5">
      <w:pPr>
        <w:pStyle w:val="3"/>
      </w:pPr>
      <w:bookmarkStart w:id="14" w:name="_Toc1352309424"/>
      <w:r>
        <w:rPr>
          <w:rFonts w:ascii="宋体" w:hAnsi="宋体" w:eastAsia="宋体" w:cs="宋体"/>
          <w:b/>
          <w:bCs/>
          <w:sz w:val="28"/>
          <w:szCs w:val="28"/>
        </w:rPr>
        <w:t>（一）信用风险管理体系与业务特点不匹配</w:t>
      </w:r>
      <w:bookmarkEnd w:id="14"/>
    </w:p>
    <w:p w14:paraId="0ABB491B">
      <w:pPr>
        <w:spacing w:before="80" w:after="80" w:line="360" w:lineRule="auto"/>
        <w:ind w:firstLine="480"/>
        <w:jc w:val="both"/>
      </w:pPr>
      <w:r>
        <w:rPr>
          <w:rFonts w:ascii="宋体" w:hAnsi="宋体" w:eastAsia="宋体" w:cs="宋体"/>
          <w:sz w:val="24"/>
          <w:szCs w:val="24"/>
        </w:rPr>
        <w:t>邯郸银行信贷资产结构高度集中，与其所服务区域的产业结构高度重叠，但现有风险管理体系在行业集中度控制和客户结构优化方面存在明显不足。</w:t>
      </w:r>
    </w:p>
    <w:p w14:paraId="06AAF973">
      <w:pPr>
        <w:spacing w:before="60" w:after="120"/>
        <w:jc w:val="center"/>
      </w:pPr>
      <w:r>
        <w:rPr>
          <w:rFonts w:ascii="宋体" w:hAnsi="宋体" w:eastAsia="宋体" w:cs="宋体"/>
          <w:b/>
          <w:bCs/>
          <w:color w:val="404040"/>
          <w:sz w:val="22"/>
          <w:szCs w:val="22"/>
        </w:rPr>
        <w:t>表2  邯郸银行2020—2024年贷款行业集中度变化（前三大行业占比，%）</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365"/>
        <w:gridCol w:w="1365"/>
        <w:gridCol w:w="1365"/>
        <w:gridCol w:w="1365"/>
        <w:gridCol w:w="1366"/>
      </w:tblGrid>
      <w:tr w14:paraId="061CD146">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40C5108">
            <w:pPr>
              <w:jc w:val="center"/>
            </w:pPr>
            <w:r>
              <w:rPr>
                <w:rFonts w:ascii="宋体" w:hAnsi="宋体" w:eastAsia="宋体" w:cs="宋体"/>
                <w:b/>
                <w:bCs/>
                <w:color w:val="FFFFFF"/>
                <w:sz w:val="22"/>
                <w:szCs w:val="22"/>
              </w:rPr>
              <w:t>行业</w:t>
            </w:r>
          </w:p>
        </w:tc>
        <w:tc>
          <w:tcPr>
            <w:tcW w:w="136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3C6DB63A">
            <w:pPr>
              <w:jc w:val="center"/>
            </w:pPr>
            <w:r>
              <w:rPr>
                <w:rFonts w:ascii="宋体" w:hAnsi="宋体" w:eastAsia="宋体" w:cs="宋体"/>
                <w:b/>
                <w:bCs/>
                <w:color w:val="FFFFFF"/>
                <w:sz w:val="22"/>
                <w:szCs w:val="22"/>
              </w:rPr>
              <w:t>2020年</w:t>
            </w:r>
          </w:p>
        </w:tc>
        <w:tc>
          <w:tcPr>
            <w:tcW w:w="136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CE28073">
            <w:pPr>
              <w:jc w:val="center"/>
            </w:pPr>
            <w:r>
              <w:rPr>
                <w:rFonts w:ascii="宋体" w:hAnsi="宋体" w:eastAsia="宋体" w:cs="宋体"/>
                <w:b/>
                <w:bCs/>
                <w:color w:val="FFFFFF"/>
                <w:sz w:val="22"/>
                <w:szCs w:val="22"/>
              </w:rPr>
              <w:t>2021年</w:t>
            </w:r>
          </w:p>
        </w:tc>
        <w:tc>
          <w:tcPr>
            <w:tcW w:w="136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06CC6E95">
            <w:pPr>
              <w:jc w:val="center"/>
            </w:pPr>
            <w:r>
              <w:rPr>
                <w:rFonts w:ascii="宋体" w:hAnsi="宋体" w:eastAsia="宋体" w:cs="宋体"/>
                <w:b/>
                <w:bCs/>
                <w:color w:val="FFFFFF"/>
                <w:sz w:val="22"/>
                <w:szCs w:val="22"/>
              </w:rPr>
              <w:t>2022年</w:t>
            </w:r>
          </w:p>
        </w:tc>
        <w:tc>
          <w:tcPr>
            <w:tcW w:w="136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BE3528E">
            <w:pPr>
              <w:jc w:val="center"/>
            </w:pPr>
            <w:r>
              <w:rPr>
                <w:rFonts w:ascii="宋体" w:hAnsi="宋体" w:eastAsia="宋体" w:cs="宋体"/>
                <w:b/>
                <w:bCs/>
                <w:color w:val="FFFFFF"/>
                <w:sz w:val="22"/>
                <w:szCs w:val="22"/>
              </w:rPr>
              <w:t>2023年</w:t>
            </w:r>
          </w:p>
        </w:tc>
        <w:tc>
          <w:tcPr>
            <w:tcW w:w="1366"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C12EE0B">
            <w:pPr>
              <w:jc w:val="center"/>
            </w:pPr>
            <w:r>
              <w:rPr>
                <w:rFonts w:ascii="宋体" w:hAnsi="宋体" w:eastAsia="宋体" w:cs="宋体"/>
                <w:b/>
                <w:bCs/>
                <w:color w:val="FFFFFF"/>
                <w:sz w:val="22"/>
                <w:szCs w:val="22"/>
              </w:rPr>
              <w:t>2024年</w:t>
            </w:r>
          </w:p>
        </w:tc>
      </w:tr>
      <w:tr w14:paraId="69CFF925">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004B4C">
            <w:pPr>
              <w:jc w:val="left"/>
            </w:pPr>
            <w:r>
              <w:rPr>
                <w:rFonts w:ascii="宋体" w:hAnsi="宋体" w:eastAsia="宋体" w:cs="宋体"/>
                <w:b w:val="0"/>
                <w:bCs w:val="0"/>
                <w:color w:val="000000"/>
                <w:sz w:val="20"/>
                <w:szCs w:val="20"/>
              </w:rPr>
              <w:t>制造业</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309A243">
            <w:pPr>
              <w:jc w:val="center"/>
            </w:pPr>
            <w:r>
              <w:rPr>
                <w:rFonts w:ascii="宋体" w:hAnsi="宋体" w:eastAsia="宋体" w:cs="宋体"/>
                <w:b w:val="0"/>
                <w:bCs w:val="0"/>
                <w:color w:val="000000"/>
                <w:sz w:val="20"/>
                <w:szCs w:val="20"/>
              </w:rPr>
              <w:t>28.33</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375E582">
            <w:pPr>
              <w:jc w:val="center"/>
            </w:pPr>
            <w:r>
              <w:rPr>
                <w:rFonts w:ascii="宋体" w:hAnsi="宋体" w:eastAsia="宋体" w:cs="宋体"/>
                <w:b w:val="0"/>
                <w:bCs w:val="0"/>
                <w:color w:val="000000"/>
                <w:sz w:val="20"/>
                <w:szCs w:val="20"/>
              </w:rPr>
              <w:t>28.50</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35FA69">
            <w:pPr>
              <w:jc w:val="center"/>
            </w:pPr>
            <w:r>
              <w:rPr>
                <w:rFonts w:ascii="宋体" w:hAnsi="宋体" w:eastAsia="宋体" w:cs="宋体"/>
                <w:b w:val="0"/>
                <w:bCs w:val="0"/>
                <w:color w:val="000000"/>
                <w:sz w:val="20"/>
                <w:szCs w:val="20"/>
              </w:rPr>
              <w:t>24.77</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BE1FEF">
            <w:pPr>
              <w:jc w:val="center"/>
            </w:pPr>
            <w:r>
              <w:rPr>
                <w:rFonts w:ascii="宋体" w:hAnsi="宋体" w:eastAsia="宋体" w:cs="宋体"/>
                <w:b w:val="0"/>
                <w:bCs w:val="0"/>
                <w:color w:val="000000"/>
                <w:sz w:val="20"/>
                <w:szCs w:val="20"/>
              </w:rPr>
              <w:t>25.24</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3138B6B">
            <w:pPr>
              <w:jc w:val="center"/>
            </w:pPr>
            <w:r>
              <w:rPr>
                <w:rFonts w:ascii="宋体" w:hAnsi="宋体" w:eastAsia="宋体" w:cs="宋体"/>
                <w:b w:val="0"/>
                <w:bCs w:val="0"/>
                <w:color w:val="000000"/>
                <w:sz w:val="20"/>
                <w:szCs w:val="20"/>
              </w:rPr>
              <w:t>25.31</w:t>
            </w:r>
          </w:p>
        </w:tc>
      </w:tr>
      <w:tr w14:paraId="2BA51ACA">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359B0A5">
            <w:pPr>
              <w:jc w:val="left"/>
            </w:pPr>
            <w:r>
              <w:rPr>
                <w:rFonts w:ascii="宋体" w:hAnsi="宋体" w:eastAsia="宋体" w:cs="宋体"/>
                <w:b w:val="0"/>
                <w:bCs w:val="0"/>
                <w:color w:val="000000"/>
                <w:sz w:val="20"/>
                <w:szCs w:val="20"/>
              </w:rPr>
              <w:t>批发和零售业</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B87E5C4">
            <w:pPr>
              <w:jc w:val="center"/>
            </w:pPr>
            <w:r>
              <w:rPr>
                <w:rFonts w:ascii="宋体" w:hAnsi="宋体" w:eastAsia="宋体" w:cs="宋体"/>
                <w:b w:val="0"/>
                <w:bCs w:val="0"/>
                <w:color w:val="000000"/>
                <w:sz w:val="20"/>
                <w:szCs w:val="20"/>
              </w:rPr>
              <w:t>20.13</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04F0204">
            <w:pPr>
              <w:jc w:val="center"/>
            </w:pPr>
            <w:r>
              <w:rPr>
                <w:rFonts w:ascii="宋体" w:hAnsi="宋体" w:eastAsia="宋体" w:cs="宋体"/>
                <w:b w:val="0"/>
                <w:bCs w:val="0"/>
                <w:color w:val="000000"/>
                <w:sz w:val="20"/>
                <w:szCs w:val="20"/>
              </w:rPr>
              <w:t>17.02</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D5130A1">
            <w:pPr>
              <w:jc w:val="center"/>
            </w:pPr>
            <w:r>
              <w:rPr>
                <w:rFonts w:ascii="宋体" w:hAnsi="宋体" w:eastAsia="宋体" w:cs="宋体"/>
                <w:b w:val="0"/>
                <w:bCs w:val="0"/>
                <w:color w:val="000000"/>
                <w:sz w:val="20"/>
                <w:szCs w:val="20"/>
              </w:rPr>
              <w:t>14.86</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339B3A4">
            <w:pPr>
              <w:jc w:val="center"/>
            </w:pPr>
            <w:r>
              <w:rPr>
                <w:rFonts w:ascii="宋体" w:hAnsi="宋体" w:eastAsia="宋体" w:cs="宋体"/>
                <w:b w:val="0"/>
                <w:bCs w:val="0"/>
                <w:color w:val="000000"/>
                <w:sz w:val="20"/>
                <w:szCs w:val="20"/>
              </w:rPr>
              <w:t>15.39</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DB089E7">
            <w:pPr>
              <w:jc w:val="center"/>
            </w:pPr>
            <w:r>
              <w:rPr>
                <w:rFonts w:ascii="宋体" w:hAnsi="宋体" w:eastAsia="宋体" w:cs="宋体"/>
                <w:b w:val="0"/>
                <w:bCs w:val="0"/>
                <w:color w:val="000000"/>
                <w:sz w:val="20"/>
                <w:szCs w:val="20"/>
              </w:rPr>
              <w:t>12.45</w:t>
            </w:r>
          </w:p>
        </w:tc>
      </w:tr>
      <w:tr w14:paraId="5C34A624">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E0A4F7">
            <w:pPr>
              <w:jc w:val="left"/>
            </w:pPr>
            <w:r>
              <w:rPr>
                <w:rFonts w:ascii="宋体" w:hAnsi="宋体" w:eastAsia="宋体" w:cs="宋体"/>
                <w:b w:val="0"/>
                <w:bCs w:val="0"/>
                <w:color w:val="000000"/>
                <w:sz w:val="20"/>
                <w:szCs w:val="20"/>
              </w:rPr>
              <w:t>建筑业</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F87EBB7">
            <w:pPr>
              <w:jc w:val="center"/>
            </w:pPr>
            <w:r>
              <w:rPr>
                <w:rFonts w:ascii="宋体" w:hAnsi="宋体" w:eastAsia="宋体" w:cs="宋体"/>
                <w:b w:val="0"/>
                <w:bCs w:val="0"/>
                <w:color w:val="000000"/>
                <w:sz w:val="20"/>
                <w:szCs w:val="20"/>
              </w:rPr>
              <w:t>4.67</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ABEA77">
            <w:pPr>
              <w:jc w:val="center"/>
            </w:pPr>
            <w:r>
              <w:rPr>
                <w:rFonts w:ascii="宋体" w:hAnsi="宋体" w:eastAsia="宋体" w:cs="宋体"/>
                <w:b w:val="0"/>
                <w:bCs w:val="0"/>
                <w:color w:val="000000"/>
                <w:sz w:val="20"/>
                <w:szCs w:val="20"/>
              </w:rPr>
              <w:t>6.15</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6DB45A">
            <w:pPr>
              <w:jc w:val="center"/>
            </w:pPr>
            <w:r>
              <w:rPr>
                <w:rFonts w:ascii="宋体" w:hAnsi="宋体" w:eastAsia="宋体" w:cs="宋体"/>
                <w:b w:val="0"/>
                <w:bCs w:val="0"/>
                <w:color w:val="000000"/>
                <w:sz w:val="20"/>
                <w:szCs w:val="20"/>
              </w:rPr>
              <w:t>7.44</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A2469D">
            <w:pPr>
              <w:jc w:val="center"/>
            </w:pPr>
            <w:r>
              <w:rPr>
                <w:rFonts w:ascii="宋体" w:hAnsi="宋体" w:eastAsia="宋体" w:cs="宋体"/>
                <w:b w:val="0"/>
                <w:bCs w:val="0"/>
                <w:color w:val="000000"/>
                <w:sz w:val="20"/>
                <w:szCs w:val="20"/>
              </w:rPr>
              <w:t>9.17</w:t>
            </w:r>
          </w:p>
        </w:tc>
        <w:tc>
          <w:tcPr>
            <w:tcW w:w="136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485058F">
            <w:pPr>
              <w:jc w:val="center"/>
            </w:pPr>
            <w:r>
              <w:rPr>
                <w:rFonts w:ascii="宋体" w:hAnsi="宋体" w:eastAsia="宋体" w:cs="宋体"/>
                <w:b w:val="0"/>
                <w:bCs w:val="0"/>
                <w:color w:val="000000"/>
                <w:sz w:val="20"/>
                <w:szCs w:val="20"/>
              </w:rPr>
              <w:t>9.73</w:t>
            </w:r>
          </w:p>
        </w:tc>
      </w:tr>
      <w:tr w14:paraId="43E17C80">
        <w:tc>
          <w:tcPr>
            <w:tcW w:w="22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1C5A954">
            <w:pPr>
              <w:jc w:val="left"/>
            </w:pPr>
            <w:r>
              <w:rPr>
                <w:rFonts w:ascii="宋体" w:hAnsi="宋体" w:eastAsia="宋体" w:cs="宋体"/>
                <w:b/>
                <w:bCs/>
                <w:color w:val="000000"/>
                <w:sz w:val="20"/>
                <w:szCs w:val="20"/>
              </w:rPr>
              <w:t>前三行业合计</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1D16A33">
            <w:pPr>
              <w:jc w:val="center"/>
            </w:pPr>
            <w:r>
              <w:rPr>
                <w:rFonts w:ascii="宋体" w:hAnsi="宋体" w:eastAsia="宋体" w:cs="宋体"/>
                <w:b/>
                <w:bCs/>
                <w:color w:val="000000"/>
                <w:sz w:val="20"/>
                <w:szCs w:val="20"/>
              </w:rPr>
              <w:t>53.13</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A65B536">
            <w:pPr>
              <w:jc w:val="center"/>
            </w:pPr>
            <w:r>
              <w:rPr>
                <w:rFonts w:ascii="宋体" w:hAnsi="宋体" w:eastAsia="宋体" w:cs="宋体"/>
                <w:b/>
                <w:bCs/>
                <w:color w:val="000000"/>
                <w:sz w:val="20"/>
                <w:szCs w:val="20"/>
              </w:rPr>
              <w:t>51.67</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33694E9">
            <w:pPr>
              <w:jc w:val="center"/>
            </w:pPr>
            <w:r>
              <w:rPr>
                <w:rFonts w:ascii="宋体" w:hAnsi="宋体" w:eastAsia="宋体" w:cs="宋体"/>
                <w:b/>
                <w:bCs/>
                <w:color w:val="000000"/>
                <w:sz w:val="20"/>
                <w:szCs w:val="20"/>
              </w:rPr>
              <w:t>47.07</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03E1DC59">
            <w:pPr>
              <w:jc w:val="center"/>
            </w:pPr>
            <w:r>
              <w:rPr>
                <w:rFonts w:ascii="宋体" w:hAnsi="宋体" w:eastAsia="宋体" w:cs="宋体"/>
                <w:b/>
                <w:bCs/>
                <w:color w:val="000000"/>
                <w:sz w:val="20"/>
                <w:szCs w:val="20"/>
              </w:rPr>
              <w:t>49.80</w:t>
            </w:r>
          </w:p>
        </w:tc>
        <w:tc>
          <w:tcPr>
            <w:tcW w:w="136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69D9577">
            <w:pPr>
              <w:jc w:val="center"/>
            </w:pPr>
            <w:r>
              <w:rPr>
                <w:rFonts w:ascii="宋体" w:hAnsi="宋体" w:eastAsia="宋体" w:cs="宋体"/>
                <w:b/>
                <w:bCs/>
                <w:color w:val="000000"/>
                <w:sz w:val="20"/>
                <w:szCs w:val="20"/>
              </w:rPr>
              <w:t>47.49</w:t>
            </w:r>
          </w:p>
        </w:tc>
      </w:tr>
    </w:tbl>
    <w:p w14:paraId="1E2A70E7">
      <w:pPr>
        <w:spacing w:before="80" w:after="120"/>
      </w:pPr>
      <w:r>
        <w:rPr>
          <w:rFonts w:ascii="宋体" w:hAnsi="宋体" w:eastAsia="宋体" w:cs="宋体"/>
          <w:i/>
          <w:iCs/>
          <w:color w:val="666666"/>
          <w:sz w:val="20"/>
          <w:szCs w:val="20"/>
        </w:rPr>
        <w:t>资料来源：邯郸银行2020—2024年年度报告，作者整理。</w:t>
      </w:r>
    </w:p>
    <w:p w14:paraId="23621DCE">
      <w:pPr>
        <w:spacing w:before="160" w:after="80"/>
        <w:jc w:val="center"/>
      </w:pPr>
      <w:r>
        <w:drawing>
          <wp:inline distT="0" distB="0" distL="0" distR="0">
            <wp:extent cx="5524500" cy="3333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3"/>
                    <a:srcRect/>
                    <a:stretch>
                      <a:fillRect/>
                    </a:stretch>
                  </pic:blipFill>
                  <pic:spPr>
                    <a:xfrm>
                      <a:off x="0" y="0"/>
                      <a:ext cx="5524500" cy="3333750"/>
                    </a:xfrm>
                    <a:prstGeom prst="rect">
                      <a:avLst/>
                    </a:prstGeom>
                  </pic:spPr>
                </pic:pic>
              </a:graphicData>
            </a:graphic>
          </wp:inline>
        </w:drawing>
      </w:r>
    </w:p>
    <w:p w14:paraId="3FEAB1FA">
      <w:pPr>
        <w:spacing w:before="60" w:after="120"/>
        <w:jc w:val="center"/>
      </w:pPr>
      <w:r>
        <w:rPr>
          <w:rFonts w:ascii="宋体" w:hAnsi="宋体" w:eastAsia="宋体" w:cs="宋体"/>
          <w:b/>
          <w:bCs/>
          <w:color w:val="404040"/>
          <w:sz w:val="22"/>
          <w:szCs w:val="22"/>
        </w:rPr>
        <w:t>图5  邯郸银行2020—2024年主要行业贷款占比变化（前五大行业）</w:t>
      </w:r>
    </w:p>
    <w:p w14:paraId="2FEA6ABD">
      <w:pPr>
        <w:spacing w:before="80" w:after="80" w:line="360" w:lineRule="auto"/>
        <w:ind w:firstLine="480"/>
        <w:jc w:val="both"/>
      </w:pPr>
      <w:r>
        <w:rPr>
          <w:rFonts w:ascii="宋体" w:hAnsi="宋体" w:eastAsia="宋体" w:cs="宋体"/>
          <w:sz w:val="24"/>
          <w:szCs w:val="24"/>
        </w:rPr>
        <w:t>由表2及图5可见，制造业贷款占比长期高达25%—29%，批发零售业占比亦维持在12%—20%之间。邯郸作为传统钢铁重镇，制造业企业偿债能力对钢铁、煤炭等大宗商品价格高度敏感。2022年以来，建筑业贷款占比从4.67%持续攀升至9.73%，与房地产行业深度调整形成叠加，潜在信用风险不容忽视。房地产贷款占比虽已从2020年的7.03%压降至2024年的3.59%，但建筑业贷款的快速增长实质上是房地产下游风险的隐性积累。</w:t>
      </w:r>
    </w:p>
    <w:p w14:paraId="0C244EE4">
      <w:pPr>
        <w:spacing w:before="160" w:after="80"/>
        <w:jc w:val="center"/>
      </w:pPr>
      <w:r>
        <w:drawing>
          <wp:inline distT="0" distB="0" distL="0" distR="0">
            <wp:extent cx="4762500" cy="33337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4"/>
                    <a:srcRect/>
                    <a:stretch>
                      <a:fillRect/>
                    </a:stretch>
                  </pic:blipFill>
                  <pic:spPr>
                    <a:xfrm>
                      <a:off x="0" y="0"/>
                      <a:ext cx="4762500" cy="3333750"/>
                    </a:xfrm>
                    <a:prstGeom prst="rect">
                      <a:avLst/>
                    </a:prstGeom>
                  </pic:spPr>
                </pic:pic>
              </a:graphicData>
            </a:graphic>
          </wp:inline>
        </w:drawing>
      </w:r>
    </w:p>
    <w:p w14:paraId="40A2E66A">
      <w:pPr>
        <w:spacing w:before="60" w:after="120"/>
        <w:jc w:val="center"/>
      </w:pPr>
      <w:r>
        <w:rPr>
          <w:rFonts w:ascii="宋体" w:hAnsi="宋体" w:eastAsia="宋体" w:cs="宋体"/>
          <w:b/>
          <w:bCs/>
          <w:color w:val="404040"/>
          <w:sz w:val="22"/>
          <w:szCs w:val="22"/>
        </w:rPr>
        <w:t>图6  邯郸银行2024年末贷款行业分布（饼状图）</w:t>
      </w:r>
    </w:p>
    <w:p w14:paraId="4D50E673">
      <w:pPr>
        <w:spacing w:before="80" w:after="80" w:line="360" w:lineRule="auto"/>
        <w:ind w:firstLine="480"/>
        <w:jc w:val="both"/>
      </w:pPr>
      <w:r>
        <w:rPr>
          <w:rFonts w:ascii="宋体" w:hAnsi="宋体" w:eastAsia="宋体" w:cs="宋体"/>
          <w:sz w:val="24"/>
          <w:szCs w:val="24"/>
        </w:rPr>
        <w:t>图6直观呈现了邯郸银行2024年末贷款在各行业间的分布格局。制造业以25.31%高居首位，批发零售业（12.45%）和建筑业（9.73%）分列第二、第三。前三大行业合计占比达47.49%，行业集中风险显著。与此同时，房地产业占比已压降至3.59%，而交通运输、租赁商务等相对稳健行业的比例有所提升，行业结构调整初见成效，但仍需继续推进信贷结构多元化。</w:t>
      </w:r>
    </w:p>
    <w:p w14:paraId="4C636B4E">
      <w:pPr>
        <w:pStyle w:val="3"/>
      </w:pPr>
      <w:bookmarkStart w:id="15" w:name="_Toc1445052967"/>
      <w:r>
        <w:rPr>
          <w:rFonts w:ascii="宋体" w:hAnsi="宋体" w:eastAsia="宋体" w:cs="宋体"/>
          <w:b/>
          <w:bCs/>
          <w:sz w:val="28"/>
          <w:szCs w:val="28"/>
        </w:rPr>
        <w:t>（二）风险识别技术体系落后</w:t>
      </w:r>
      <w:bookmarkEnd w:id="15"/>
    </w:p>
    <w:p w14:paraId="4AC5ACC4">
      <w:pPr>
        <w:spacing w:before="80" w:after="80" w:line="360" w:lineRule="auto"/>
        <w:ind w:firstLine="480"/>
        <w:jc w:val="both"/>
      </w:pPr>
      <w:r>
        <w:rPr>
          <w:rFonts w:ascii="宋体" w:hAnsi="宋体" w:eastAsia="宋体" w:cs="宋体"/>
          <w:sz w:val="24"/>
          <w:szCs w:val="24"/>
        </w:rPr>
        <w:t>与大型银行相比，邯郸银行在信用风险量化识别技术方面存在明显差距，主要体现在以下几个方面：</w:t>
      </w:r>
    </w:p>
    <w:p w14:paraId="548A92FB">
      <w:pPr>
        <w:spacing w:before="80" w:after="80" w:line="360" w:lineRule="auto"/>
        <w:ind w:firstLine="480"/>
        <w:jc w:val="both"/>
      </w:pPr>
      <w:r>
        <w:rPr>
          <w:rFonts w:ascii="宋体" w:hAnsi="宋体" w:eastAsia="宋体" w:cs="宋体"/>
          <w:sz w:val="24"/>
          <w:szCs w:val="24"/>
        </w:rPr>
        <w:t>一是内部评级模型建设滞后。邯郸银行尚未建立完整的内部信用评级系统（IRS），缺乏基于历史违约数据的违约概率（PD）和违约损失率（LGD）本土化估计能力，信用风险计量主要依赖定性判断和财务指标分析，难以实现风险的精准量化。</w:t>
      </w:r>
    </w:p>
    <w:p w14:paraId="147676A4">
      <w:pPr>
        <w:spacing w:before="80" w:after="80" w:line="360" w:lineRule="auto"/>
        <w:ind w:firstLine="480"/>
        <w:jc w:val="both"/>
      </w:pPr>
      <w:r>
        <w:rPr>
          <w:rFonts w:ascii="宋体" w:hAnsi="宋体" w:eastAsia="宋体" w:cs="宋体"/>
          <w:sz w:val="24"/>
          <w:szCs w:val="24"/>
        </w:rPr>
        <w:t>二是大数据风控应用不足。尽管邯郸银行信息科技建设水平在省内城商行中处于领先位置，但核心信贷业务系统与外部数据源（如人民银行征信系统、税务数据、工商数据、法院执行数据、社保数据等）的对接整合程度有限，借款人画像的数据维度不足，难以支撑精细化的信用风险评估。</w:t>
      </w:r>
    </w:p>
    <w:p w14:paraId="705A35BD">
      <w:pPr>
        <w:spacing w:before="80" w:after="80" w:line="360" w:lineRule="auto"/>
        <w:ind w:firstLine="480"/>
        <w:jc w:val="both"/>
      </w:pPr>
      <w:r>
        <w:rPr>
          <w:rFonts w:ascii="宋体" w:hAnsi="宋体" w:eastAsia="宋体" w:cs="宋体"/>
          <w:sz w:val="24"/>
          <w:szCs w:val="24"/>
        </w:rPr>
        <w:t>三是早期预警机制不够灵敏。从五年数据看，邯郸银行关注类贷款占比从2020年的3.54%持续攀升至2023年的10.07%，说明借款人信用状况恶化的预判信号未能得到足够早期的捕捉，风险预警存在明显滞后性。</w:t>
      </w:r>
    </w:p>
    <w:p w14:paraId="6408732E">
      <w:pPr>
        <w:spacing w:before="60" w:after="120"/>
        <w:jc w:val="center"/>
      </w:pPr>
      <w:r>
        <w:rPr>
          <w:rFonts w:ascii="宋体" w:hAnsi="宋体" w:eastAsia="宋体" w:cs="宋体"/>
          <w:b/>
          <w:bCs/>
          <w:color w:val="404040"/>
          <w:sz w:val="22"/>
          <w:szCs w:val="22"/>
        </w:rPr>
        <w:t>表3  邯郸银行2020—2024年贷款五级分类结构变化（%）</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5"/>
        <w:gridCol w:w="1405"/>
        <w:gridCol w:w="1405"/>
        <w:gridCol w:w="1405"/>
        <w:gridCol w:w="1406"/>
      </w:tblGrid>
      <w:tr w14:paraId="08E9681C">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0CC55237">
            <w:pPr>
              <w:jc w:val="center"/>
            </w:pPr>
            <w:r>
              <w:rPr>
                <w:rFonts w:ascii="宋体" w:hAnsi="宋体" w:eastAsia="宋体" w:cs="宋体"/>
                <w:b/>
                <w:bCs/>
                <w:color w:val="FFFFFF"/>
                <w:sz w:val="22"/>
                <w:szCs w:val="22"/>
              </w:rPr>
              <w:t>分类</w:t>
            </w:r>
          </w:p>
        </w:tc>
        <w:tc>
          <w:tcPr>
            <w:tcW w:w="140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A641417">
            <w:pPr>
              <w:jc w:val="center"/>
            </w:pPr>
            <w:r>
              <w:rPr>
                <w:rFonts w:ascii="宋体" w:hAnsi="宋体" w:eastAsia="宋体" w:cs="宋体"/>
                <w:b/>
                <w:bCs/>
                <w:color w:val="FFFFFF"/>
                <w:sz w:val="22"/>
                <w:szCs w:val="22"/>
              </w:rPr>
              <w:t>2020年</w:t>
            </w:r>
          </w:p>
        </w:tc>
        <w:tc>
          <w:tcPr>
            <w:tcW w:w="140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FBEADD7">
            <w:pPr>
              <w:jc w:val="center"/>
            </w:pPr>
            <w:r>
              <w:rPr>
                <w:rFonts w:ascii="宋体" w:hAnsi="宋体" w:eastAsia="宋体" w:cs="宋体"/>
                <w:b/>
                <w:bCs/>
                <w:color w:val="FFFFFF"/>
                <w:sz w:val="22"/>
                <w:szCs w:val="22"/>
              </w:rPr>
              <w:t>2021年</w:t>
            </w:r>
          </w:p>
        </w:tc>
        <w:tc>
          <w:tcPr>
            <w:tcW w:w="140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48373372">
            <w:pPr>
              <w:jc w:val="center"/>
            </w:pPr>
            <w:r>
              <w:rPr>
                <w:rFonts w:ascii="宋体" w:hAnsi="宋体" w:eastAsia="宋体" w:cs="宋体"/>
                <w:b/>
                <w:bCs/>
                <w:color w:val="FFFFFF"/>
                <w:sz w:val="22"/>
                <w:szCs w:val="22"/>
              </w:rPr>
              <w:t>2022年</w:t>
            </w:r>
          </w:p>
        </w:tc>
        <w:tc>
          <w:tcPr>
            <w:tcW w:w="1405"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99B7899">
            <w:pPr>
              <w:jc w:val="center"/>
            </w:pPr>
            <w:r>
              <w:rPr>
                <w:rFonts w:ascii="宋体" w:hAnsi="宋体" w:eastAsia="宋体" w:cs="宋体"/>
                <w:b/>
                <w:bCs/>
                <w:color w:val="FFFFFF"/>
                <w:sz w:val="22"/>
                <w:szCs w:val="22"/>
              </w:rPr>
              <w:t>2023年</w:t>
            </w:r>
          </w:p>
        </w:tc>
        <w:tc>
          <w:tcPr>
            <w:tcW w:w="1406"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18A42663">
            <w:pPr>
              <w:jc w:val="center"/>
            </w:pPr>
            <w:r>
              <w:rPr>
                <w:rFonts w:ascii="宋体" w:hAnsi="宋体" w:eastAsia="宋体" w:cs="宋体"/>
                <w:b/>
                <w:bCs/>
                <w:color w:val="FFFFFF"/>
                <w:sz w:val="22"/>
                <w:szCs w:val="22"/>
              </w:rPr>
              <w:t>2024年</w:t>
            </w:r>
          </w:p>
        </w:tc>
      </w:tr>
      <w:tr w14:paraId="648CFC3F">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852597">
            <w:pPr>
              <w:jc w:val="left"/>
            </w:pPr>
            <w:r>
              <w:rPr>
                <w:rFonts w:ascii="宋体" w:hAnsi="宋体" w:eastAsia="宋体" w:cs="宋体"/>
                <w:b w:val="0"/>
                <w:bCs w:val="0"/>
                <w:color w:val="000000"/>
                <w:sz w:val="20"/>
                <w:szCs w:val="20"/>
              </w:rPr>
              <w:t>正常类</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CAB1C6">
            <w:pPr>
              <w:jc w:val="center"/>
            </w:pPr>
            <w:r>
              <w:rPr>
                <w:rFonts w:ascii="宋体" w:hAnsi="宋体" w:eastAsia="宋体" w:cs="宋体"/>
                <w:b w:val="0"/>
                <w:bCs w:val="0"/>
                <w:color w:val="000000"/>
                <w:sz w:val="20"/>
                <w:szCs w:val="20"/>
              </w:rPr>
              <w:t>94.56</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CD6775">
            <w:pPr>
              <w:jc w:val="center"/>
            </w:pPr>
            <w:r>
              <w:rPr>
                <w:rFonts w:ascii="宋体" w:hAnsi="宋体" w:eastAsia="宋体" w:cs="宋体"/>
                <w:b w:val="0"/>
                <w:bCs w:val="0"/>
                <w:color w:val="000000"/>
                <w:sz w:val="20"/>
                <w:szCs w:val="20"/>
              </w:rPr>
              <w:t>93.44</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F1CA511">
            <w:pPr>
              <w:jc w:val="center"/>
            </w:pPr>
            <w:r>
              <w:rPr>
                <w:rFonts w:ascii="宋体" w:hAnsi="宋体" w:eastAsia="宋体" w:cs="宋体"/>
                <w:b w:val="0"/>
                <w:bCs w:val="0"/>
                <w:color w:val="000000"/>
                <w:sz w:val="20"/>
                <w:szCs w:val="20"/>
              </w:rPr>
              <w:t>90.05</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D50D1F0">
            <w:pPr>
              <w:jc w:val="center"/>
            </w:pPr>
            <w:r>
              <w:rPr>
                <w:rFonts w:ascii="宋体" w:hAnsi="宋体" w:eastAsia="宋体" w:cs="宋体"/>
                <w:b w:val="0"/>
                <w:bCs w:val="0"/>
                <w:color w:val="000000"/>
                <w:sz w:val="20"/>
                <w:szCs w:val="20"/>
              </w:rPr>
              <w:t>87.69</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A99C03">
            <w:pPr>
              <w:jc w:val="center"/>
            </w:pPr>
            <w:r>
              <w:rPr>
                <w:rFonts w:ascii="宋体" w:hAnsi="宋体" w:eastAsia="宋体" w:cs="宋体"/>
                <w:b w:val="0"/>
                <w:bCs w:val="0"/>
                <w:color w:val="000000"/>
                <w:sz w:val="20"/>
                <w:szCs w:val="20"/>
              </w:rPr>
              <w:t>89.72</w:t>
            </w:r>
          </w:p>
        </w:tc>
      </w:tr>
      <w:tr w14:paraId="739EFD11">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446B2BB">
            <w:pPr>
              <w:jc w:val="left"/>
            </w:pPr>
            <w:r>
              <w:rPr>
                <w:rFonts w:ascii="宋体" w:hAnsi="宋体" w:eastAsia="宋体" w:cs="宋体"/>
                <w:b w:val="0"/>
                <w:bCs w:val="0"/>
                <w:color w:val="000000"/>
                <w:sz w:val="20"/>
                <w:szCs w:val="20"/>
              </w:rPr>
              <w:t>关注类</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0901160">
            <w:pPr>
              <w:jc w:val="center"/>
            </w:pPr>
            <w:r>
              <w:rPr>
                <w:rFonts w:ascii="宋体" w:hAnsi="宋体" w:eastAsia="宋体" w:cs="宋体"/>
                <w:b w:val="0"/>
                <w:bCs w:val="0"/>
                <w:color w:val="000000"/>
                <w:sz w:val="20"/>
                <w:szCs w:val="20"/>
              </w:rPr>
              <w:t>3.54</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5D35128">
            <w:pPr>
              <w:jc w:val="center"/>
            </w:pPr>
            <w:r>
              <w:rPr>
                <w:rFonts w:ascii="宋体" w:hAnsi="宋体" w:eastAsia="宋体" w:cs="宋体"/>
                <w:b w:val="0"/>
                <w:bCs w:val="0"/>
                <w:color w:val="000000"/>
                <w:sz w:val="20"/>
                <w:szCs w:val="20"/>
              </w:rPr>
              <w:t>4.60</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AF1CF72">
            <w:pPr>
              <w:jc w:val="center"/>
            </w:pPr>
            <w:r>
              <w:rPr>
                <w:rFonts w:ascii="宋体" w:hAnsi="宋体" w:eastAsia="宋体" w:cs="宋体"/>
                <w:b w:val="0"/>
                <w:bCs w:val="0"/>
                <w:color w:val="000000"/>
                <w:sz w:val="20"/>
                <w:szCs w:val="20"/>
              </w:rPr>
              <w:t>8.04</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33FF824">
            <w:pPr>
              <w:jc w:val="center"/>
            </w:pPr>
            <w:r>
              <w:rPr>
                <w:rFonts w:ascii="宋体" w:hAnsi="宋体" w:eastAsia="宋体" w:cs="宋体"/>
                <w:b w:val="0"/>
                <w:bCs w:val="0"/>
                <w:color w:val="000000"/>
                <w:sz w:val="20"/>
                <w:szCs w:val="20"/>
              </w:rPr>
              <w:t>10.07</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13CB054">
            <w:pPr>
              <w:jc w:val="center"/>
            </w:pPr>
            <w:r>
              <w:rPr>
                <w:rFonts w:ascii="宋体" w:hAnsi="宋体" w:eastAsia="宋体" w:cs="宋体"/>
                <w:b w:val="0"/>
                <w:bCs w:val="0"/>
                <w:color w:val="000000"/>
                <w:sz w:val="20"/>
                <w:szCs w:val="20"/>
              </w:rPr>
              <w:t>8.90</w:t>
            </w:r>
          </w:p>
        </w:tc>
      </w:tr>
      <w:tr w14:paraId="3A0D6050">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DC637D5">
            <w:pPr>
              <w:jc w:val="left"/>
            </w:pPr>
            <w:r>
              <w:rPr>
                <w:rFonts w:ascii="宋体" w:hAnsi="宋体" w:eastAsia="宋体" w:cs="宋体"/>
                <w:b w:val="0"/>
                <w:bCs w:val="0"/>
                <w:color w:val="000000"/>
                <w:sz w:val="20"/>
                <w:szCs w:val="20"/>
              </w:rPr>
              <w:t>次级类</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C5EE60">
            <w:pPr>
              <w:jc w:val="center"/>
            </w:pPr>
            <w:r>
              <w:rPr>
                <w:rFonts w:ascii="宋体" w:hAnsi="宋体" w:eastAsia="宋体" w:cs="宋体"/>
                <w:b w:val="0"/>
                <w:bCs w:val="0"/>
                <w:color w:val="000000"/>
                <w:sz w:val="20"/>
                <w:szCs w:val="20"/>
              </w:rPr>
              <w:t>0.06</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DED9C4">
            <w:pPr>
              <w:jc w:val="center"/>
            </w:pPr>
            <w:r>
              <w:rPr>
                <w:rFonts w:ascii="宋体" w:hAnsi="宋体" w:eastAsia="宋体" w:cs="宋体"/>
                <w:b w:val="0"/>
                <w:bCs w:val="0"/>
                <w:color w:val="000000"/>
                <w:sz w:val="20"/>
                <w:szCs w:val="20"/>
              </w:rPr>
              <w:t>0.06</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303BA65">
            <w:pPr>
              <w:jc w:val="center"/>
            </w:pPr>
            <w:r>
              <w:rPr>
                <w:rFonts w:ascii="宋体" w:hAnsi="宋体" w:eastAsia="宋体" w:cs="宋体"/>
                <w:b w:val="0"/>
                <w:bCs w:val="0"/>
                <w:color w:val="000000"/>
                <w:sz w:val="20"/>
                <w:szCs w:val="20"/>
              </w:rPr>
              <w:t>0.57</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600B4EA">
            <w:pPr>
              <w:jc w:val="center"/>
            </w:pPr>
            <w:r>
              <w:rPr>
                <w:rFonts w:ascii="宋体" w:hAnsi="宋体" w:eastAsia="宋体" w:cs="宋体"/>
                <w:b w:val="0"/>
                <w:bCs w:val="0"/>
                <w:color w:val="000000"/>
                <w:sz w:val="20"/>
                <w:szCs w:val="20"/>
              </w:rPr>
              <w:t>0.58</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371A43A">
            <w:pPr>
              <w:jc w:val="center"/>
            </w:pPr>
            <w:r>
              <w:rPr>
                <w:rFonts w:ascii="宋体" w:hAnsi="宋体" w:eastAsia="宋体" w:cs="宋体"/>
                <w:b w:val="0"/>
                <w:bCs w:val="0"/>
                <w:color w:val="000000"/>
                <w:sz w:val="20"/>
                <w:szCs w:val="20"/>
              </w:rPr>
              <w:t>0.68</w:t>
            </w:r>
          </w:p>
        </w:tc>
      </w:tr>
      <w:tr w14:paraId="30DF5CAB">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1515CDCE">
            <w:pPr>
              <w:jc w:val="left"/>
            </w:pPr>
            <w:r>
              <w:rPr>
                <w:rFonts w:ascii="宋体" w:hAnsi="宋体" w:eastAsia="宋体" w:cs="宋体"/>
                <w:b w:val="0"/>
                <w:bCs w:val="0"/>
                <w:color w:val="000000"/>
                <w:sz w:val="20"/>
                <w:szCs w:val="20"/>
              </w:rPr>
              <w:t>可疑类</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DC3E627">
            <w:pPr>
              <w:jc w:val="center"/>
            </w:pPr>
            <w:r>
              <w:rPr>
                <w:rFonts w:ascii="宋体" w:hAnsi="宋体" w:eastAsia="宋体" w:cs="宋体"/>
                <w:b w:val="0"/>
                <w:bCs w:val="0"/>
                <w:color w:val="000000"/>
                <w:sz w:val="20"/>
                <w:szCs w:val="20"/>
              </w:rPr>
              <w:t>1.72</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9A7E2CC">
            <w:pPr>
              <w:jc w:val="center"/>
            </w:pPr>
            <w:r>
              <w:rPr>
                <w:rFonts w:ascii="宋体" w:hAnsi="宋体" w:eastAsia="宋体" w:cs="宋体"/>
                <w:b w:val="0"/>
                <w:bCs w:val="0"/>
                <w:color w:val="000000"/>
                <w:sz w:val="20"/>
                <w:szCs w:val="20"/>
              </w:rPr>
              <w:t>1.85</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1A60BEA">
            <w:pPr>
              <w:jc w:val="center"/>
            </w:pPr>
            <w:r>
              <w:rPr>
                <w:rFonts w:ascii="宋体" w:hAnsi="宋体" w:eastAsia="宋体" w:cs="宋体"/>
                <w:b w:val="0"/>
                <w:bCs w:val="0"/>
                <w:color w:val="000000"/>
                <w:sz w:val="20"/>
                <w:szCs w:val="20"/>
              </w:rPr>
              <w:t>1.29</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47CF572">
            <w:pPr>
              <w:jc w:val="center"/>
            </w:pPr>
            <w:r>
              <w:rPr>
                <w:rFonts w:ascii="宋体" w:hAnsi="宋体" w:eastAsia="宋体" w:cs="宋体"/>
                <w:b w:val="0"/>
                <w:bCs w:val="0"/>
                <w:color w:val="000000"/>
                <w:sz w:val="20"/>
                <w:szCs w:val="20"/>
              </w:rPr>
              <w:t>1.64</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65AA7B8">
            <w:pPr>
              <w:jc w:val="center"/>
            </w:pPr>
            <w:r>
              <w:rPr>
                <w:rFonts w:ascii="宋体" w:hAnsi="宋体" w:eastAsia="宋体" w:cs="宋体"/>
                <w:b w:val="0"/>
                <w:bCs w:val="0"/>
                <w:color w:val="000000"/>
                <w:sz w:val="20"/>
                <w:szCs w:val="20"/>
              </w:rPr>
              <w:t>0.69</w:t>
            </w:r>
          </w:p>
        </w:tc>
      </w:tr>
      <w:tr w14:paraId="49BF3423">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90AA0DC">
            <w:pPr>
              <w:jc w:val="left"/>
            </w:pPr>
            <w:r>
              <w:rPr>
                <w:rFonts w:ascii="宋体" w:hAnsi="宋体" w:eastAsia="宋体" w:cs="宋体"/>
                <w:b w:val="0"/>
                <w:bCs w:val="0"/>
                <w:color w:val="000000"/>
                <w:sz w:val="20"/>
                <w:szCs w:val="20"/>
              </w:rPr>
              <w:t>损失类</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8E052C">
            <w:pPr>
              <w:jc w:val="center"/>
            </w:pPr>
            <w:r>
              <w:rPr>
                <w:rFonts w:ascii="宋体" w:hAnsi="宋体" w:eastAsia="宋体" w:cs="宋体"/>
                <w:b w:val="0"/>
                <w:bCs w:val="0"/>
                <w:color w:val="000000"/>
                <w:sz w:val="20"/>
                <w:szCs w:val="20"/>
              </w:rPr>
              <w:t>0.12</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13726D2">
            <w:pPr>
              <w:jc w:val="center"/>
            </w:pPr>
            <w:r>
              <w:rPr>
                <w:rFonts w:ascii="宋体" w:hAnsi="宋体" w:eastAsia="宋体" w:cs="宋体"/>
                <w:b w:val="0"/>
                <w:bCs w:val="0"/>
                <w:color w:val="000000"/>
                <w:sz w:val="20"/>
                <w:szCs w:val="20"/>
              </w:rPr>
              <w:t>0.05</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D878B3">
            <w:pPr>
              <w:jc w:val="center"/>
            </w:pPr>
            <w:r>
              <w:rPr>
                <w:rFonts w:ascii="宋体" w:hAnsi="宋体" w:eastAsia="宋体" w:cs="宋体"/>
                <w:b w:val="0"/>
                <w:bCs w:val="0"/>
                <w:color w:val="000000"/>
                <w:sz w:val="20"/>
                <w:szCs w:val="20"/>
              </w:rPr>
              <w:t>0.05</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51F53B">
            <w:pPr>
              <w:jc w:val="center"/>
            </w:pPr>
            <w:r>
              <w:rPr>
                <w:rFonts w:ascii="宋体" w:hAnsi="宋体" w:eastAsia="宋体" w:cs="宋体"/>
                <w:b w:val="0"/>
                <w:bCs w:val="0"/>
                <w:color w:val="000000"/>
                <w:sz w:val="20"/>
                <w:szCs w:val="20"/>
              </w:rPr>
              <w:t>0.02</w:t>
            </w:r>
          </w:p>
        </w:tc>
        <w:tc>
          <w:tcPr>
            <w:tcW w:w="140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815CA0">
            <w:pPr>
              <w:jc w:val="center"/>
            </w:pPr>
            <w:r>
              <w:rPr>
                <w:rFonts w:ascii="宋体" w:hAnsi="宋体" w:eastAsia="宋体" w:cs="宋体"/>
                <w:b w:val="0"/>
                <w:bCs w:val="0"/>
                <w:color w:val="000000"/>
                <w:sz w:val="20"/>
                <w:szCs w:val="20"/>
              </w:rPr>
              <w:t>0.02</w:t>
            </w:r>
          </w:p>
        </w:tc>
      </w:tr>
      <w:tr w14:paraId="55C04E0D">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7513270">
            <w:pPr>
              <w:jc w:val="left"/>
            </w:pPr>
            <w:r>
              <w:rPr>
                <w:rFonts w:ascii="宋体" w:hAnsi="宋体" w:eastAsia="宋体" w:cs="宋体"/>
                <w:b/>
                <w:bCs/>
                <w:color w:val="000000"/>
                <w:sz w:val="20"/>
                <w:szCs w:val="20"/>
              </w:rPr>
              <w:t>不良贷款合计</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D117C58">
            <w:pPr>
              <w:jc w:val="center"/>
            </w:pPr>
            <w:r>
              <w:rPr>
                <w:rFonts w:ascii="宋体" w:hAnsi="宋体" w:eastAsia="宋体" w:cs="宋体"/>
                <w:b/>
                <w:bCs/>
                <w:color w:val="000000"/>
                <w:sz w:val="20"/>
                <w:szCs w:val="20"/>
              </w:rPr>
              <w:t>1.90</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26566DA">
            <w:pPr>
              <w:jc w:val="center"/>
            </w:pPr>
            <w:r>
              <w:rPr>
                <w:rFonts w:ascii="宋体" w:hAnsi="宋体" w:eastAsia="宋体" w:cs="宋体"/>
                <w:b/>
                <w:bCs/>
                <w:color w:val="000000"/>
                <w:sz w:val="20"/>
                <w:szCs w:val="20"/>
              </w:rPr>
              <w:t>1.96</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A761998">
            <w:pPr>
              <w:jc w:val="center"/>
            </w:pPr>
            <w:r>
              <w:rPr>
                <w:rFonts w:ascii="宋体" w:hAnsi="宋体" w:eastAsia="宋体" w:cs="宋体"/>
                <w:b/>
                <w:bCs/>
                <w:color w:val="000000"/>
                <w:sz w:val="20"/>
                <w:szCs w:val="20"/>
              </w:rPr>
              <w:t>1.91</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5F4B7FF">
            <w:pPr>
              <w:jc w:val="center"/>
            </w:pPr>
            <w:r>
              <w:rPr>
                <w:rFonts w:ascii="宋体" w:hAnsi="宋体" w:eastAsia="宋体" w:cs="宋体"/>
                <w:b/>
                <w:bCs/>
                <w:color w:val="000000"/>
                <w:sz w:val="20"/>
                <w:szCs w:val="20"/>
              </w:rPr>
              <w:t>2.24</w:t>
            </w:r>
          </w:p>
        </w:tc>
        <w:tc>
          <w:tcPr>
            <w:tcW w:w="1405"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F660244">
            <w:pPr>
              <w:jc w:val="center"/>
            </w:pPr>
            <w:r>
              <w:rPr>
                <w:rFonts w:ascii="宋体" w:hAnsi="宋体" w:eastAsia="宋体" w:cs="宋体"/>
                <w:b/>
                <w:bCs/>
                <w:color w:val="000000"/>
                <w:sz w:val="20"/>
                <w:szCs w:val="20"/>
              </w:rPr>
              <w:t>1.39</w:t>
            </w:r>
          </w:p>
        </w:tc>
      </w:tr>
    </w:tbl>
    <w:p w14:paraId="32736A7E">
      <w:pPr>
        <w:spacing w:before="80" w:after="80"/>
      </w:pPr>
      <w:r>
        <w:rPr>
          <w:rFonts w:ascii="宋体" w:hAnsi="宋体" w:eastAsia="宋体" w:cs="宋体"/>
          <w:i/>
          <w:iCs/>
          <w:color w:val="666666"/>
          <w:sz w:val="20"/>
          <w:szCs w:val="20"/>
        </w:rPr>
        <w:t>资料来源：邯郸银行2020—2024年年度报告，作者整理。注：不良贷款合计=次级+可疑+损失，与年报披露值略有差异因四舍五入。</w:t>
      </w:r>
    </w:p>
    <w:p w14:paraId="371E23A6">
      <w:pPr>
        <w:spacing w:before="160" w:after="80"/>
        <w:jc w:val="center"/>
      </w:pPr>
      <w:r>
        <w:drawing>
          <wp:inline distT="0" distB="0" distL="0" distR="0">
            <wp:extent cx="5238750" cy="31432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5"/>
                    <a:srcRect/>
                    <a:stretch>
                      <a:fillRect/>
                    </a:stretch>
                  </pic:blipFill>
                  <pic:spPr>
                    <a:xfrm>
                      <a:off x="0" y="0"/>
                      <a:ext cx="5238750" cy="3143250"/>
                    </a:xfrm>
                    <a:prstGeom prst="rect">
                      <a:avLst/>
                    </a:prstGeom>
                  </pic:spPr>
                </pic:pic>
              </a:graphicData>
            </a:graphic>
          </wp:inline>
        </w:drawing>
      </w:r>
    </w:p>
    <w:p w14:paraId="1E918CA7">
      <w:pPr>
        <w:spacing w:before="60" w:after="120"/>
        <w:jc w:val="center"/>
      </w:pPr>
      <w:r>
        <w:rPr>
          <w:rFonts w:ascii="宋体" w:hAnsi="宋体" w:eastAsia="宋体" w:cs="宋体"/>
          <w:b/>
          <w:bCs/>
          <w:color w:val="404040"/>
          <w:sz w:val="22"/>
          <w:szCs w:val="22"/>
        </w:rPr>
        <w:t>图7  邯郸银行2020—2024年贷款五级分类结构变化（堆叠图）</w:t>
      </w:r>
    </w:p>
    <w:p w14:paraId="06EDD0A5">
      <w:pPr>
        <w:spacing w:before="80" w:after="80" w:line="360" w:lineRule="auto"/>
        <w:ind w:firstLine="480"/>
        <w:jc w:val="both"/>
      </w:pPr>
      <w:r>
        <w:rPr>
          <w:rFonts w:ascii="宋体" w:hAnsi="宋体" w:eastAsia="宋体" w:cs="宋体"/>
          <w:sz w:val="24"/>
          <w:szCs w:val="24"/>
        </w:rPr>
        <w:t>从表3及图7的动态变化分析，正常类贷款占比从2020年的94.56%持续下降至2023年的87.69%，而关注类贷款占比从3.54%骤增至10.07%，累计增幅185%，反映出大量贷款在滑落为不良之前经历了较长时间的“关注区间”滞留。这一现象表明，邯郸银行的风险识别和早期预警系统未能有效防范关注类贷款的快速累积，存在“缓慢沸腾”式的风险积聚模式。2024年通过加大不良处置力度，分类结构有所改善，但关注类贷款占比仍达8.90%，潜在压力依然存在。</w:t>
      </w:r>
    </w:p>
    <w:p w14:paraId="3828E327">
      <w:pPr>
        <w:pStyle w:val="3"/>
      </w:pPr>
      <w:bookmarkStart w:id="16" w:name="_Toc1112652446"/>
      <w:r>
        <w:rPr>
          <w:rFonts w:ascii="宋体" w:hAnsi="宋体" w:eastAsia="宋体" w:cs="宋体"/>
          <w:b/>
          <w:bCs/>
          <w:sz w:val="28"/>
          <w:szCs w:val="28"/>
        </w:rPr>
        <w:t>（三）风险管控执行机制失效</w:t>
      </w:r>
      <w:bookmarkEnd w:id="16"/>
    </w:p>
    <w:p w14:paraId="6964410A">
      <w:pPr>
        <w:spacing w:before="80" w:after="80" w:line="360" w:lineRule="auto"/>
        <w:ind w:firstLine="480"/>
        <w:jc w:val="both"/>
      </w:pPr>
      <w:r>
        <w:rPr>
          <w:rFonts w:ascii="宋体" w:hAnsi="宋体" w:eastAsia="宋体" w:cs="宋体"/>
          <w:sz w:val="24"/>
          <w:szCs w:val="24"/>
        </w:rPr>
        <w:t>信用风险管理制度的生命力在于有效执行。然而，邯郸银行在风险管控执行层面存在若干突出问题：</w:t>
      </w:r>
    </w:p>
    <w:p w14:paraId="4466102B">
      <w:pPr>
        <w:spacing w:before="80" w:after="80" w:line="360" w:lineRule="auto"/>
        <w:ind w:firstLine="480"/>
        <w:jc w:val="both"/>
      </w:pPr>
      <w:r>
        <w:rPr>
          <w:rFonts w:ascii="宋体" w:hAnsi="宋体" w:eastAsia="宋体" w:cs="宋体"/>
          <w:sz w:val="24"/>
          <w:szCs w:val="24"/>
        </w:rPr>
        <w:t>一是关联交易管控存在隐患。据2023年年报披露，邯郸银行当年董事会审议的重大关联交易多达6笔，涉及多家关联方，关联交易频率和规模均较高。过度的关联交易可能导致信贷资源向特定利益相关方倾斜，削弱信用风险管理的独立性。</w:t>
      </w:r>
    </w:p>
    <w:p w14:paraId="21D56575">
      <w:pPr>
        <w:spacing w:before="80" w:after="80" w:line="360" w:lineRule="auto"/>
        <w:ind w:firstLine="480"/>
        <w:jc w:val="both"/>
      </w:pPr>
      <w:r>
        <w:rPr>
          <w:rFonts w:ascii="宋体" w:hAnsi="宋体" w:eastAsia="宋体" w:cs="宋体"/>
          <w:sz w:val="24"/>
          <w:szCs w:val="24"/>
        </w:rPr>
        <w:t>二是股权结构变化带来管控挑战。2024年年报显示，邯郸银行第一大股东发生重大变更，由邯郸市建设投资集团有限公司及其一致行动人（持股14.01%）变更为河北新武安钢铁集团东山冶金有限公司（持股9.31%）。大股东的频繁变动以及高比例民营资本持股（占71%）可能影响信贷决策的独立性。</w:t>
      </w:r>
    </w:p>
    <w:p w14:paraId="237843C1">
      <w:pPr>
        <w:spacing w:before="80" w:after="80" w:line="360" w:lineRule="auto"/>
        <w:ind w:firstLine="480"/>
        <w:jc w:val="both"/>
      </w:pPr>
      <w:r>
        <w:rPr>
          <w:rFonts w:ascii="宋体" w:hAnsi="宋体" w:eastAsia="宋体" w:cs="宋体"/>
          <w:sz w:val="24"/>
          <w:szCs w:val="24"/>
        </w:rPr>
        <w:t>三是不良贷款处置效率存在波动。从拨备覆盖率的变化轨迹看（2021年182.26%→2022年154.73%→2023年136.84%），2022—2023年拨备覆盖率持续下降，逼近150%的监管红线，反映出不良贷款生成速度超过拨备计提速度，风险处置效率不足。</w:t>
      </w:r>
    </w:p>
    <w:p w14:paraId="5B89F17F">
      <w:pPr>
        <w:spacing w:before="160" w:after="80"/>
        <w:jc w:val="center"/>
      </w:pPr>
      <w:r>
        <w:drawing>
          <wp:inline distT="0" distB="0" distL="0" distR="0">
            <wp:extent cx="4953000" cy="29527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
                    <a:srcRect/>
                    <a:stretch>
                      <a:fillRect/>
                    </a:stretch>
                  </pic:blipFill>
                  <pic:spPr>
                    <a:xfrm>
                      <a:off x="0" y="0"/>
                      <a:ext cx="4953000" cy="2952750"/>
                    </a:xfrm>
                    <a:prstGeom prst="rect">
                      <a:avLst/>
                    </a:prstGeom>
                  </pic:spPr>
                </pic:pic>
              </a:graphicData>
            </a:graphic>
          </wp:inline>
        </w:drawing>
      </w:r>
    </w:p>
    <w:p w14:paraId="015A4201">
      <w:pPr>
        <w:spacing w:before="60" w:after="120"/>
        <w:jc w:val="center"/>
      </w:pPr>
      <w:r>
        <w:rPr>
          <w:rFonts w:ascii="宋体" w:hAnsi="宋体" w:eastAsia="宋体" w:cs="宋体"/>
          <w:b/>
          <w:bCs/>
          <w:color w:val="404040"/>
          <w:sz w:val="22"/>
          <w:szCs w:val="22"/>
        </w:rPr>
        <w:t>图8  邯郸银行2020—2024年净利润变化（万元）</w:t>
      </w:r>
    </w:p>
    <w:p w14:paraId="69DA7309">
      <w:pPr>
        <w:spacing w:before="80" w:after="80" w:line="360" w:lineRule="auto"/>
        <w:ind w:firstLine="480"/>
        <w:jc w:val="both"/>
      </w:pPr>
      <w:r>
        <w:rPr>
          <w:rFonts w:ascii="宋体" w:hAnsi="宋体" w:eastAsia="宋体" w:cs="宋体"/>
          <w:sz w:val="24"/>
          <w:szCs w:val="24"/>
        </w:rPr>
        <w:t>图8显示，邯郸银行净利润呈现明显的“双峰”特征：2022年达到近五年峰值约14.97亿元，随后在2023年大幅下滑至约6.21亿元（降幅约58.5%），2024年有所回升至约8.01亿元。2023年的盈利大幅下滑与该年度拨备覆盖率跌破监管红线、不良贷款率攀升至高点密切相关——银行在加大拨备计提的同时，利差收窄对净利息收入产生压力，共同压缩了盈利空间。这一波动也从侧面印证了信用风险管理执行机制存在周期性松弛，风险敞口的积聚最终对经营业绩产生了实质影响。</w:t>
      </w:r>
    </w:p>
    <w:p w14:paraId="18E333A9">
      <w:pPr>
        <w:pStyle w:val="3"/>
      </w:pPr>
      <w:bookmarkStart w:id="17" w:name="_Toc62061846"/>
      <w:r>
        <w:rPr>
          <w:rFonts w:ascii="宋体" w:hAnsi="宋体" w:eastAsia="宋体" w:cs="宋体"/>
          <w:b/>
          <w:bCs/>
          <w:sz w:val="28"/>
          <w:szCs w:val="28"/>
        </w:rPr>
        <w:t>（四）人才与内控建设滞后</w:t>
      </w:r>
      <w:bookmarkEnd w:id="17"/>
    </w:p>
    <w:p w14:paraId="4588650D">
      <w:pPr>
        <w:spacing w:before="80" w:after="80" w:line="360" w:lineRule="auto"/>
        <w:ind w:firstLine="480"/>
        <w:jc w:val="both"/>
      </w:pPr>
      <w:r>
        <w:rPr>
          <w:rFonts w:ascii="宋体" w:hAnsi="宋体" w:eastAsia="宋体" w:cs="宋体"/>
          <w:sz w:val="24"/>
          <w:szCs w:val="24"/>
        </w:rPr>
        <w:t>城商行长期面临风险管理专业人才短缺的困境，邯郸银行同样存在此问题。一是信用风险专业人才不足，量化分析、数据科学、金融工程等复合型人才匮乏；二是基层信贷人员综合素质参差不齐，贷款“三查”工作流于形式的问题在历年年报的内控督查中屡有反映；三是内控体系建设存在“重制度文本、轻执行落地”的倾向；四是高管和核心业务人员流动较为频繁，可能导致风险管理经验的断层和传承缺失。</w:t>
      </w:r>
    </w:p>
    <w:p w14:paraId="321341AE">
      <w:r>
        <w:br w:type="page"/>
      </w:r>
    </w:p>
    <w:p w14:paraId="5412702C">
      <w:pPr>
        <w:pStyle w:val="2"/>
      </w:pPr>
      <w:bookmarkStart w:id="18" w:name="_Toc1543876927"/>
      <w:r>
        <w:rPr>
          <w:rFonts w:ascii="宋体" w:hAnsi="宋体" w:eastAsia="宋体" w:cs="宋体"/>
          <w:b/>
          <w:bCs/>
          <w:sz w:val="32"/>
          <w:szCs w:val="32"/>
        </w:rPr>
        <w:t>五、完善邯郸银行信用风险管理的对策建议</w:t>
      </w:r>
      <w:bookmarkEnd w:id="18"/>
    </w:p>
    <w:p w14:paraId="27741FBD">
      <w:pPr>
        <w:pStyle w:val="3"/>
      </w:pPr>
      <w:bookmarkStart w:id="19" w:name="_Toc2042089035"/>
      <w:r>
        <w:rPr>
          <w:rFonts w:ascii="宋体" w:hAnsi="宋体" w:eastAsia="宋体" w:cs="宋体"/>
          <w:b/>
          <w:bCs/>
          <w:sz w:val="28"/>
          <w:szCs w:val="28"/>
        </w:rPr>
        <w:t>（一）优化信贷全流程</w:t>
      </w:r>
      <w:bookmarkEnd w:id="19"/>
    </w:p>
    <w:p w14:paraId="726265E9">
      <w:pPr>
        <w:spacing w:before="80" w:after="80" w:line="360" w:lineRule="auto"/>
        <w:ind w:firstLine="480"/>
        <w:jc w:val="both"/>
      </w:pPr>
      <w:r>
        <w:rPr>
          <w:rFonts w:ascii="宋体" w:hAnsi="宋体" w:eastAsia="宋体" w:cs="宋体"/>
          <w:sz w:val="24"/>
          <w:szCs w:val="24"/>
        </w:rPr>
        <w:t>针对信用风险管理体系与业务特点不匹配的问题，建议从贷款生命周期的全链条视角重构信贷管理流程，实现“事前严筛、事中动管、事后敏处”的管理闭环。</w:t>
      </w:r>
    </w:p>
    <w:p w14:paraId="0ACF66BF">
      <w:pPr>
        <w:spacing w:before="200" w:after="120"/>
      </w:pPr>
      <w:r>
        <w:rPr>
          <w:rFonts w:ascii="宋体" w:hAnsi="宋体" w:eastAsia="宋体" w:cs="宋体"/>
          <w:b/>
          <w:bCs/>
          <w:sz w:val="26"/>
          <w:szCs w:val="26"/>
        </w:rPr>
        <w:t>1. 贷前智能筛选</w:t>
      </w:r>
    </w:p>
    <w:p w14:paraId="246BAAFF">
      <w:pPr>
        <w:spacing w:before="80" w:after="80" w:line="360" w:lineRule="auto"/>
        <w:ind w:firstLine="480"/>
        <w:jc w:val="both"/>
      </w:pPr>
      <w:r>
        <w:rPr>
          <w:rFonts w:ascii="宋体" w:hAnsi="宋体" w:eastAsia="宋体" w:cs="宋体"/>
          <w:sz w:val="24"/>
          <w:szCs w:val="24"/>
        </w:rPr>
        <w:t>在授信准入环节，应建立多维度的客户信用准入标准，将行业风险、区域风险、客户风险三类因素纳入准入矩阵统一评估。具体而言：首先，建立行业“红黄绿”分类准入管理机制，参照监管要求和宏观产业政策，将建筑业贷款占比设定上限为8%（当前已达9.73%，需逐步压缩），以防范房地产行业下行风险的传导。其次，引入税务、工商、法院、舆情等多元外部数据，构建客户信用画像系统，通过企业纳税数据、发票流水、社保缴纳等硬信息弥补财务报表信息不对称的不足。第三，对于新引入“专精特新”、科技型企业等非传统信贷客户，制定知识产权质押、科技型企业专属信用评估模型等差异化评估方案。</w:t>
      </w:r>
    </w:p>
    <w:p w14:paraId="4A5B2E93">
      <w:pPr>
        <w:spacing w:before="200" w:after="120"/>
      </w:pPr>
      <w:r>
        <w:rPr>
          <w:rFonts w:ascii="宋体" w:hAnsi="宋体" w:eastAsia="宋体" w:cs="宋体"/>
          <w:b/>
          <w:bCs/>
          <w:sz w:val="26"/>
          <w:szCs w:val="26"/>
        </w:rPr>
        <w:t>2. 贷中动态管控</w:t>
      </w:r>
    </w:p>
    <w:p w14:paraId="2511A4E3">
      <w:pPr>
        <w:spacing w:before="80" w:after="80" w:line="360" w:lineRule="auto"/>
        <w:ind w:firstLine="480"/>
        <w:jc w:val="both"/>
      </w:pPr>
      <w:r>
        <w:rPr>
          <w:rFonts w:ascii="宋体" w:hAnsi="宋体" w:eastAsia="宋体" w:cs="宋体"/>
          <w:sz w:val="24"/>
          <w:szCs w:val="24"/>
        </w:rPr>
        <w:t>建议建立以下机制：一是构建贷款健康指数动态监测机制，对每笔贷款设定包含账户资金流量、关联企业变动、抵押物价值、行业景气度等在内的综合监测指标，设置黄色预警（健康指数下降20%触发）和红色预警（下降40%触发）两档阈值；二是完善大额贷款定期评估机制，对5000万元以上授信客户按季度开展专项现场检查；三是加强抵押物动态重估，建立与外部评估机构合作的定期重估机制。</w:t>
      </w:r>
    </w:p>
    <w:p w14:paraId="489790EB">
      <w:pPr>
        <w:spacing w:before="200" w:after="120"/>
      </w:pPr>
      <w:r>
        <w:rPr>
          <w:rFonts w:ascii="宋体" w:hAnsi="宋体" w:eastAsia="宋体" w:cs="宋体"/>
          <w:b/>
          <w:bCs/>
          <w:sz w:val="26"/>
          <w:szCs w:val="26"/>
        </w:rPr>
        <w:t>3. 贷后敏捷响应</w:t>
      </w:r>
    </w:p>
    <w:p w14:paraId="7F29EF4E">
      <w:pPr>
        <w:spacing w:before="80" w:after="80" w:line="360" w:lineRule="auto"/>
        <w:ind w:firstLine="480"/>
        <w:jc w:val="both"/>
      </w:pPr>
      <w:r>
        <w:rPr>
          <w:rFonts w:ascii="宋体" w:hAnsi="宋体" w:eastAsia="宋体" w:cs="宋体"/>
          <w:sz w:val="24"/>
          <w:szCs w:val="24"/>
        </w:rPr>
        <w:t>鉴于2022—2023年关注类贷款快速累积问题，建议建立分级分类的不良资产处置快速响应机制。对关注类贷款实施“一户一案”处置方案，根据客户实际情况选择重组、展期、担保替换或催收等不同路径；对逾期90天以内的贷款，加大协商重组力度；对确实无法偿还的不良贷款，加快核销和批量转让步伐。以2024年经验为例，正是通过加大核销和批量转让力度，邯郸银行将不良贷款率从2.24%大幅压降至1.38%，拨备覆盖率回升至204.35%，应作为常态化的贷后管理机制加以坚持。</w:t>
      </w:r>
    </w:p>
    <w:p w14:paraId="3C7E6E02">
      <w:pPr>
        <w:pStyle w:val="3"/>
      </w:pPr>
      <w:bookmarkStart w:id="20" w:name="_Toc306764891"/>
      <w:r>
        <w:rPr>
          <w:rFonts w:ascii="宋体" w:hAnsi="宋体" w:eastAsia="宋体" w:cs="宋体"/>
          <w:b/>
          <w:bCs/>
          <w:sz w:val="28"/>
          <w:szCs w:val="28"/>
        </w:rPr>
        <w:t>（二）升级智能风控系统</w:t>
      </w:r>
      <w:bookmarkEnd w:id="20"/>
    </w:p>
    <w:p w14:paraId="3E48CEBB">
      <w:pPr>
        <w:spacing w:before="80" w:after="80" w:line="360" w:lineRule="auto"/>
        <w:ind w:firstLine="480"/>
        <w:jc w:val="both"/>
      </w:pPr>
      <w:r>
        <w:rPr>
          <w:rFonts w:ascii="宋体" w:hAnsi="宋体" w:eastAsia="宋体" w:cs="宋体"/>
          <w:sz w:val="24"/>
          <w:szCs w:val="24"/>
        </w:rPr>
        <w:t>针对风险识别技术体系落后的问题，建议从技术底座、模型体系、数据整合和大模型应用四个维度全面升级邯郸银行的智能风控能力。其中，引入大语言模型（Large Language Model，LLM）是当前金融科技领域最具前景的创新方向之一，具有重要的战略意义。</w:t>
      </w:r>
    </w:p>
    <w:p w14:paraId="2F59B5AB">
      <w:pPr>
        <w:spacing w:before="200" w:after="120"/>
      </w:pPr>
      <w:r>
        <w:rPr>
          <w:rFonts w:ascii="宋体" w:hAnsi="宋体" w:eastAsia="宋体" w:cs="宋体"/>
          <w:b/>
          <w:bCs/>
          <w:sz w:val="26"/>
          <w:szCs w:val="26"/>
        </w:rPr>
        <w:t>1. 升级技术底座</w:t>
      </w:r>
    </w:p>
    <w:p w14:paraId="35AD1059">
      <w:pPr>
        <w:spacing w:before="80" w:after="80" w:line="360" w:lineRule="auto"/>
        <w:ind w:firstLine="480"/>
        <w:jc w:val="both"/>
      </w:pPr>
      <w:r>
        <w:rPr>
          <w:rFonts w:ascii="宋体" w:hAnsi="宋体" w:eastAsia="宋体" w:cs="宋体"/>
          <w:sz w:val="24"/>
          <w:szCs w:val="24"/>
        </w:rPr>
        <w:t>依托邯郸银行已建成的“两地三中心”灾备架构和同城“双活”数据中心，进一步完善统一数据中台建设，打通信贷核心系统、风险管理系统、资产负债管理系统之间的数据壁垒，实现信用风险数据的实时汇聚、统一存储和高效调用。引入分布式数据库和实时计算框架（如Flink、Spark），支撑高并发的实时风险计算需求，为大模型的推理调用提供稳定算力基础。</w:t>
      </w:r>
    </w:p>
    <w:p w14:paraId="093B39C2">
      <w:pPr>
        <w:spacing w:before="200" w:after="120"/>
      </w:pPr>
      <w:r>
        <w:rPr>
          <w:rFonts w:ascii="宋体" w:hAnsi="宋体" w:eastAsia="宋体" w:cs="宋体"/>
          <w:b/>
          <w:bCs/>
          <w:sz w:val="26"/>
          <w:szCs w:val="26"/>
        </w:rPr>
        <w:t>2. 大语言模型在信用风险管理中的应用</w:t>
      </w:r>
    </w:p>
    <w:p w14:paraId="1D10EE80">
      <w:pPr>
        <w:spacing w:before="80" w:after="80" w:line="360" w:lineRule="auto"/>
        <w:ind w:firstLine="480"/>
        <w:jc w:val="both"/>
      </w:pPr>
      <w:r>
        <w:rPr>
          <w:rFonts w:ascii="宋体" w:hAnsi="宋体" w:eastAsia="宋体" w:cs="宋体"/>
          <w:sz w:val="24"/>
          <w:szCs w:val="24"/>
        </w:rPr>
        <w:t>大语言模型是当前人工智能领域最重要的技术突破之一，以GPT系列、文心一言、通义千问等为代表的大型预训练模型，具备强大的自然语言理解、多模态信息处理和复杂推理能力，已在金融风险管理领域展现出广阔的应用前景。邯郸银行可从以下四个核心场景系统推进大模型的落地应用：</w:t>
      </w:r>
    </w:p>
    <w:p w14:paraId="71CD34CA">
      <w:pPr>
        <w:spacing w:before="80" w:after="80" w:line="360" w:lineRule="auto"/>
        <w:ind w:firstLine="480"/>
        <w:jc w:val="both"/>
      </w:pPr>
      <w:r>
        <w:rPr>
          <w:rFonts w:ascii="宋体" w:hAnsi="宋体" w:eastAsia="宋体" w:cs="宋体"/>
          <w:sz w:val="24"/>
          <w:szCs w:val="24"/>
        </w:rPr>
        <w:t>（1）智能贷款审核助手。利用大模型的自然语言处理能力，对借款人提交的财务报告、营业执照、合同文件、经营说明等非结构化材料进行自动化深度解析，快速提取关键信用信息并识别异常点（如财务数据前后矛盾、关联方隐性担保等），生成结构化的风险摘要报告，辅助信贷审批人员进行决策，将人工审核时间从数天压缩至数小时。具体而言，可通过微调（Fine-tuning）金融领域专属大模型，使其深度理解银行内部信贷政策、行业风险规则，确保输出结果与邯郸银行实际风险偏好高度契合。</w:t>
      </w:r>
    </w:p>
    <w:p w14:paraId="6582F36D">
      <w:pPr>
        <w:spacing w:before="80" w:after="80" w:line="360" w:lineRule="auto"/>
        <w:ind w:firstLine="480"/>
        <w:jc w:val="both"/>
      </w:pPr>
      <w:r>
        <w:rPr>
          <w:rFonts w:ascii="宋体" w:hAnsi="宋体" w:eastAsia="宋体" w:cs="宋体"/>
          <w:sz w:val="24"/>
          <w:szCs w:val="24"/>
        </w:rPr>
        <w:t>（2）实时舆情与风险信号监测。大模型具备对海量非结构化文本（新闻、公告、社交媒体、司法公告、行业报告等）的实时分析能力，可构建7×24小时运行的“信用风险舆情雷达”系统。该系统对存量贷款企业进行持续舆情追踪，自动识别可能影响企业偿债能力的负面信号——如核心管理层变更、重大诉讼、供应链断裂、行业政策收紧等，触发预警后立即推送给对应客户经理，实现风险的超前感知。与邯郸银行现有的“每日监测”机制相比，大模型驱动的实时预警可将信号捕捉时间缩短至分钟级别，显著提升早期预警的时效性。</w:t>
      </w:r>
    </w:p>
    <w:p w14:paraId="7814350D">
      <w:pPr>
        <w:spacing w:before="80" w:after="80" w:line="360" w:lineRule="auto"/>
        <w:ind w:firstLine="480"/>
        <w:jc w:val="both"/>
      </w:pPr>
      <w:r>
        <w:rPr>
          <w:rFonts w:ascii="宋体" w:hAnsi="宋体" w:eastAsia="宋体" w:cs="宋体"/>
          <w:sz w:val="24"/>
          <w:szCs w:val="24"/>
        </w:rPr>
        <w:t>（3）关联关系智能挖掘与反欺诈。将大模型与知识图谱技术深度融合，构建借款企业的全息关联图谱。大模型可通过分析工商注册信息、司法记录、股权结构、人员任职等多源数据，自动识别隐性关联方、交叉担保链条、壳公司架构等复杂关联关系，有效防范关联方贷款和欺诈风险。这对于邯郸银行近年来关联交易风险较高的现实情况（2023年重大关联交易6笔）尤为重要，可大幅降低依靠人工排查的遗漏风险。同时，大模型可通过分析历史欺诈案例特征，构建反欺诈规则库，对新增贷款申请进行实时欺诈概率评分。</w:t>
      </w:r>
    </w:p>
    <w:p w14:paraId="5E2E20C0">
      <w:pPr>
        <w:spacing w:before="80" w:after="80" w:line="360" w:lineRule="auto"/>
        <w:ind w:firstLine="480"/>
        <w:jc w:val="both"/>
      </w:pPr>
      <w:r>
        <w:rPr>
          <w:rFonts w:ascii="宋体" w:hAnsi="宋体" w:eastAsia="宋体" w:cs="宋体"/>
          <w:sz w:val="24"/>
          <w:szCs w:val="24"/>
        </w:rPr>
        <w:t>（4）压力测试情景生成与分析。传统压力测试依赖预设的有限情景，难以覆盖复杂多变的宏观经济冲击。引入大模型后，可基于历史数据和当前宏观经济走势，自动生成多种细粒度的压力测试情景（如钢铁价格下跌30%叠加房地产政策收紧的复合情景），并通过模拟推演预测极端情境下邯郸银行资产质量、资本充足率和流动性的变化路径，为管理层的前瞻性风险决策提供量化支撑。</w:t>
      </w:r>
    </w:p>
    <w:p w14:paraId="5DA2CBEC">
      <w:pPr>
        <w:spacing w:before="200" w:after="120"/>
      </w:pPr>
      <w:r>
        <w:rPr>
          <w:rFonts w:ascii="宋体" w:hAnsi="宋体" w:eastAsia="宋体" w:cs="宋体"/>
          <w:b/>
          <w:bCs/>
          <w:sz w:val="26"/>
          <w:szCs w:val="26"/>
        </w:rPr>
        <w:t>3. 大模型应用的实施路径与风险控制</w:t>
      </w:r>
    </w:p>
    <w:p w14:paraId="2E5F0AB4">
      <w:pPr>
        <w:spacing w:before="80" w:after="80" w:line="360" w:lineRule="auto"/>
        <w:ind w:firstLine="480"/>
        <w:jc w:val="both"/>
      </w:pPr>
      <w:r>
        <w:rPr>
          <w:rFonts w:ascii="宋体" w:hAnsi="宋体" w:eastAsia="宋体" w:cs="宋体"/>
          <w:sz w:val="24"/>
          <w:szCs w:val="24"/>
        </w:rPr>
        <w:t>邯郸银行在引入大模型时，应遵循“小步快跑、安全可控”的实施原则，分三阶段有序推进：</w:t>
      </w:r>
    </w:p>
    <w:p w14:paraId="71B2B299">
      <w:pPr>
        <w:spacing w:before="80" w:after="80" w:line="360" w:lineRule="auto"/>
        <w:ind w:firstLine="480"/>
        <w:jc w:val="both"/>
      </w:pPr>
      <w:r>
        <w:rPr>
          <w:rFonts w:ascii="宋体" w:hAnsi="宋体" w:eastAsia="宋体" w:cs="宋体"/>
          <w:sz w:val="24"/>
          <w:szCs w:val="24"/>
        </w:rPr>
        <w:t>近期（1—2年）：以“AI辅助人工”模式为主，优先在舆情监测、文档解析两个低风险场景试点大模型应用，避免将大模型直接用于信贷审批决策，降低模型幻觉（Hallucination）带来的合规风险。建议优先采用国内合规的金融大模型产品（如金融信创类大模型）进行私有化部署，确保数据安全。</w:t>
      </w:r>
    </w:p>
    <w:p w14:paraId="409A2210">
      <w:pPr>
        <w:spacing w:before="80" w:after="80" w:line="360" w:lineRule="auto"/>
        <w:ind w:firstLine="480"/>
        <w:jc w:val="both"/>
      </w:pPr>
      <w:r>
        <w:rPr>
          <w:rFonts w:ascii="宋体" w:hAnsi="宋体" w:eastAsia="宋体" w:cs="宋体"/>
          <w:sz w:val="24"/>
          <w:szCs w:val="24"/>
        </w:rPr>
        <w:t>中期（3—5年）：在积累试点经验的基础上，将大模型应用拓展至关联关系挖掘和信贷辅助审核场景，建立大模型输出结果的人工复核机制，实现“人机协同”的信用风险管理模式。同步建立大模型监控体系，对模型输出的准确率、偏差和公平性进行持续评估。</w:t>
      </w:r>
    </w:p>
    <w:p w14:paraId="48F478D8">
      <w:pPr>
        <w:spacing w:before="80" w:after="80" w:line="360" w:lineRule="auto"/>
        <w:ind w:firstLine="480"/>
        <w:jc w:val="both"/>
      </w:pPr>
      <w:r>
        <w:rPr>
          <w:rFonts w:ascii="宋体" w:hAnsi="宋体" w:eastAsia="宋体" w:cs="宋体"/>
          <w:sz w:val="24"/>
          <w:szCs w:val="24"/>
        </w:rPr>
        <w:t>远期（5年以上）：探索将大模型与内部信用评级系统深度整合，实现多模态信息（财务数据、文本报告、经营视频等）的统一处理，打造具有邯郸银行自主知识产权的信用风险“智慧大脑”，全面提升信用风险管理的智能化水平。</w:t>
      </w:r>
    </w:p>
    <w:p w14:paraId="11E3240D">
      <w:pPr>
        <w:spacing w:before="80" w:after="80" w:line="360" w:lineRule="auto"/>
        <w:ind w:firstLine="480"/>
        <w:jc w:val="both"/>
      </w:pPr>
      <w:r>
        <w:rPr>
          <w:rFonts w:ascii="宋体" w:hAnsi="宋体" w:eastAsia="宋体" w:cs="宋体"/>
          <w:sz w:val="24"/>
          <w:szCs w:val="24"/>
        </w:rPr>
        <w:t>在风险控制层面，应注意以下几点：一是数据隐私保护，确保借款人信息不外泄，优先采用私有化部署而非公共云API；二是模型可解释性，金融监管要求信贷决策具备可解释性，大模型输出须附带推理依据；三是避免过度依赖，大模型应作为辅助决策工具而非替代信贷人员判断，保留最终的人工审核权；四是合规合法，确保大模型应用符合国家金融监督管理总局关于算法决策、数据安全等方面的监管规定。</w:t>
      </w:r>
    </w:p>
    <w:p w14:paraId="108CFC7C">
      <w:pPr>
        <w:spacing w:before="200" w:after="120"/>
      </w:pPr>
      <w:r>
        <w:rPr>
          <w:rFonts w:ascii="宋体" w:hAnsi="宋体" w:eastAsia="宋体" w:cs="宋体"/>
          <w:b/>
          <w:bCs/>
          <w:sz w:val="26"/>
          <w:szCs w:val="26"/>
        </w:rPr>
        <w:t>4. 重构传统模型体系</w:t>
      </w:r>
    </w:p>
    <w:p w14:paraId="1CC9887D">
      <w:pPr>
        <w:spacing w:before="80" w:after="80" w:line="360" w:lineRule="auto"/>
        <w:ind w:firstLine="480"/>
        <w:jc w:val="both"/>
      </w:pPr>
      <w:r>
        <w:rPr>
          <w:rFonts w:ascii="宋体" w:hAnsi="宋体" w:eastAsia="宋体" w:cs="宋体"/>
          <w:sz w:val="24"/>
          <w:szCs w:val="24"/>
        </w:rPr>
        <w:t>在推进大模型应用的同时，建议分阶段推进传统内部信用评级系统建设：近期（1—2年内），基于历史贷款数据建立初级违约预测模型，测算主要客户群体的违约概率（PD）和违约损失率（LGD）参数；中期（3—5年内），完善内部信用评级体系，覆盖企业客户、小微客户、个人客户三大客户群；远期，争取向监管部门申请采用内部评级法（IRB）计量信用风险资本要求。同时引入机器学习算法（如XGBoost、随机森林等）对传统评分卡模型进行优化。</w:t>
      </w:r>
    </w:p>
    <w:p w14:paraId="27BFE4C6">
      <w:pPr>
        <w:spacing w:before="200" w:after="120"/>
      </w:pPr>
      <w:r>
        <w:rPr>
          <w:rFonts w:ascii="宋体" w:hAnsi="宋体" w:eastAsia="宋体" w:cs="宋体"/>
          <w:b/>
          <w:bCs/>
          <w:sz w:val="26"/>
          <w:szCs w:val="26"/>
        </w:rPr>
        <w:t>5. 打破数据孤岛</w:t>
      </w:r>
    </w:p>
    <w:p w14:paraId="41BA8C5B">
      <w:pPr>
        <w:spacing w:before="80" w:after="80" w:line="360" w:lineRule="auto"/>
        <w:ind w:firstLine="480"/>
        <w:jc w:val="both"/>
      </w:pPr>
      <w:r>
        <w:rPr>
          <w:rFonts w:ascii="宋体" w:hAnsi="宋体" w:eastAsia="宋体" w:cs="宋体"/>
          <w:sz w:val="24"/>
          <w:szCs w:val="24"/>
        </w:rPr>
        <w:t>建议积极推进以下数据对接工作：一是与人民银行征信中心深化合作；二是接入河北省政务数据共享平台，获取税务、市场监管、法院执行、海关等政务数据；三是与主要电商平台、供应链金融平台合作，获取企业经营流水等替代数据（Alternative Data）；四是建立行业内部"风险共享黑名单"机制，与省内其他城商行实现信用风险信息的合规共享。</w:t>
      </w:r>
    </w:p>
    <w:p w14:paraId="159E7DD8">
      <w:pPr>
        <w:pStyle w:val="3"/>
      </w:pPr>
      <w:bookmarkStart w:id="21" w:name="_Toc1836770237"/>
      <w:r>
        <w:rPr>
          <w:rFonts w:ascii="宋体" w:hAnsi="宋体" w:eastAsia="宋体" w:cs="宋体"/>
          <w:b/>
          <w:bCs/>
          <w:sz w:val="28"/>
          <w:szCs w:val="28"/>
        </w:rPr>
        <w:t>（三）强化执行层面管理</w:t>
      </w:r>
      <w:bookmarkEnd w:id="21"/>
    </w:p>
    <w:p w14:paraId="2778B3D6">
      <w:pPr>
        <w:spacing w:before="80" w:after="80" w:line="360" w:lineRule="auto"/>
        <w:ind w:firstLine="480"/>
        <w:jc w:val="both"/>
      </w:pPr>
      <w:r>
        <w:rPr>
          <w:rFonts w:ascii="宋体" w:hAnsi="宋体" w:eastAsia="宋体" w:cs="宋体"/>
          <w:sz w:val="24"/>
          <w:szCs w:val="24"/>
        </w:rPr>
        <w:t>针对风险管控执行机制失效的问题，需从流程管控和考核文化两个维度同步发力，将制度约束真正转化为员工的行为自觉。</w:t>
      </w:r>
    </w:p>
    <w:p w14:paraId="59EA8023">
      <w:pPr>
        <w:spacing w:before="200" w:after="120"/>
      </w:pPr>
      <w:r>
        <w:rPr>
          <w:rFonts w:ascii="宋体" w:hAnsi="宋体" w:eastAsia="宋体" w:cs="宋体"/>
          <w:b/>
          <w:bCs/>
          <w:sz w:val="26"/>
          <w:szCs w:val="26"/>
        </w:rPr>
        <w:t>1. 强化流程管控能力</w:t>
      </w:r>
    </w:p>
    <w:p w14:paraId="47482804">
      <w:pPr>
        <w:spacing w:before="80" w:after="80" w:line="360" w:lineRule="auto"/>
        <w:ind w:firstLine="480"/>
        <w:jc w:val="both"/>
      </w:pPr>
      <w:r>
        <w:rPr>
          <w:rFonts w:ascii="宋体" w:hAnsi="宋体" w:eastAsia="宋体" w:cs="宋体"/>
          <w:sz w:val="24"/>
          <w:szCs w:val="24"/>
        </w:rPr>
        <w:t>一是引入信贷流程数字化管控系统，将贷款“三查”的关键节点嵌入信贷管理系统，实现全流程留痕和可追溯，消除流程执行的“灰色地带”。二是加强关联交易合规管控，建立关联交易季度专项报告制度，由审计委员会对关联交易定价公允性和信贷资金流向进行独立审查；同时强化关联方识别系统建设，借助大模型和知识图谱技术提升隐性关联方的识别能力，防范关联方信贷风险。三是完善大股东行为管控机制，针对2024年大股东变更后的新格局，应依据《商业银行股权管理暂行办法》等监管规定，强化大股东合规行为管控。</w:t>
      </w:r>
    </w:p>
    <w:p w14:paraId="26F0FB9D">
      <w:pPr>
        <w:spacing w:before="200" w:after="120"/>
      </w:pPr>
      <w:r>
        <w:rPr>
          <w:rFonts w:ascii="宋体" w:hAnsi="宋体" w:eastAsia="宋体" w:cs="宋体"/>
          <w:b/>
          <w:bCs/>
          <w:sz w:val="26"/>
          <w:szCs w:val="26"/>
        </w:rPr>
        <w:t>2. 重塑考核文化</w:t>
      </w:r>
    </w:p>
    <w:p w14:paraId="5F5D7C9B">
      <w:pPr>
        <w:spacing w:before="80" w:after="80" w:line="360" w:lineRule="auto"/>
        <w:ind w:firstLine="480"/>
        <w:jc w:val="both"/>
      </w:pPr>
      <w:r>
        <w:rPr>
          <w:rFonts w:ascii="宋体" w:hAnsi="宋体" w:eastAsia="宋体" w:cs="宋体"/>
          <w:sz w:val="24"/>
          <w:szCs w:val="24"/>
        </w:rPr>
        <w:t>一是优化薪酬与绩效考核机制，在现有"薪酬与利润、资产质量挂钩"的基础上，提高信用风险指标在考核中的权重，将关注类贷款增长率、贷后检查覆盖率、预警信号响应时效等纳入信贷人员的核心KPI体系，纠正“重放贷、轻贷后”的行为偏差。二是强化风险管理文化建设，将“坚守三铁”（铁规矩、铁心肠、铁手腕）的行风传统与现代风险管理理念有机融合。三是完善问责机制，对信用风险事件实施全链条追责，包括承贷机构、客户经理、审批人员和管理层，避免责任归咎模糊。</w:t>
      </w:r>
    </w:p>
    <w:p w14:paraId="08B92476">
      <w:pPr>
        <w:pStyle w:val="3"/>
      </w:pPr>
      <w:bookmarkStart w:id="22" w:name="_Toc519947634"/>
      <w:r>
        <w:rPr>
          <w:rFonts w:ascii="宋体" w:hAnsi="宋体" w:eastAsia="宋体" w:cs="宋体"/>
          <w:b/>
          <w:bCs/>
          <w:sz w:val="28"/>
          <w:szCs w:val="28"/>
        </w:rPr>
        <w:t>（四）人才能力建设工程</w:t>
      </w:r>
      <w:bookmarkEnd w:id="22"/>
    </w:p>
    <w:p w14:paraId="39FB44C7">
      <w:pPr>
        <w:spacing w:before="80" w:after="80" w:line="360" w:lineRule="auto"/>
        <w:ind w:firstLine="480"/>
        <w:jc w:val="both"/>
      </w:pPr>
      <w:r>
        <w:rPr>
          <w:rFonts w:ascii="宋体" w:hAnsi="宋体" w:eastAsia="宋体" w:cs="宋体"/>
          <w:sz w:val="24"/>
          <w:szCs w:val="24"/>
        </w:rPr>
        <w:t>人才是信用风险管理体系持续运转的核心动力，建议从专业能力提升和组织效能优化两个层面推进人才能力建设。</w:t>
      </w:r>
    </w:p>
    <w:p w14:paraId="4C61CBA2">
      <w:pPr>
        <w:spacing w:before="200" w:after="120"/>
      </w:pPr>
      <w:r>
        <w:rPr>
          <w:rFonts w:ascii="宋体" w:hAnsi="宋体" w:eastAsia="宋体" w:cs="宋体"/>
          <w:b/>
          <w:bCs/>
          <w:sz w:val="26"/>
          <w:szCs w:val="26"/>
        </w:rPr>
        <w:t>1. 提升人员专业能力</w:t>
      </w:r>
    </w:p>
    <w:p w14:paraId="5C1F6D41">
      <w:pPr>
        <w:spacing w:before="80" w:after="80" w:line="360" w:lineRule="auto"/>
        <w:ind w:firstLine="480"/>
        <w:jc w:val="both"/>
      </w:pPr>
      <w:r>
        <w:rPr>
          <w:rFonts w:ascii="宋体" w:hAnsi="宋体" w:eastAsia="宋体" w:cs="宋体"/>
          <w:sz w:val="24"/>
          <w:szCs w:val="24"/>
        </w:rPr>
        <w:t>一是制定信用风险管理人才培养规划，与高等院校和专业培训机构合作，建立从新入职信贷员到高级风险管理师的分层培训体系，重点补强量化风险分析、数据建模、大数据工具应用和大模型操作等新型技能；二是引进高端风险管理人才，通过市场化薪酬和职业发展通道，吸引具备CFA、FRM等专业资质或在大型银行从事过量化风险管理的复合型人才；三是加强金融科技与大模型应用培训，设立“AI赋能信贷”专项培训项目，使信贷人员具备基本的大模型使用和结果研判能力，实现人机协同的工作模式。</w:t>
      </w:r>
    </w:p>
    <w:p w14:paraId="4BDA48CC">
      <w:pPr>
        <w:spacing w:before="200" w:after="120"/>
      </w:pPr>
      <w:r>
        <w:rPr>
          <w:rFonts w:ascii="宋体" w:hAnsi="宋体" w:eastAsia="宋体" w:cs="宋体"/>
          <w:b/>
          <w:bCs/>
          <w:sz w:val="26"/>
          <w:szCs w:val="26"/>
        </w:rPr>
        <w:t>2. 优化组织效能</w:t>
      </w:r>
    </w:p>
    <w:p w14:paraId="40C884EE">
      <w:pPr>
        <w:spacing w:before="80" w:after="80" w:line="360" w:lineRule="auto"/>
        <w:ind w:firstLine="480"/>
        <w:jc w:val="both"/>
      </w:pPr>
      <w:r>
        <w:rPr>
          <w:rFonts w:ascii="宋体" w:hAnsi="宋体" w:eastAsia="宋体" w:cs="宋体"/>
          <w:sz w:val="24"/>
          <w:szCs w:val="24"/>
        </w:rPr>
        <w:t>一是进一步完善“三道防线”架构，适时推动风险管理部独立成一级部门；二是优化分支机构的信用风险管理机制，在现有石家庄、保定分行审计分部垂直管理模式基础上，探索将风险管理职能在重要分行层面进行部分垂直化；三是建立风险管理条线的人才梯队机制，关键岗位实行AB角备份制度，避免人员离职导致风险管理工作断层；四是探索成立金融科技（FinTech）或风险科技（RiskTech）子部门，专职负责大模型、机器学习等前沿技术在信用风险领域的研发和应用落地，形成持续的技术创新能力。</w:t>
      </w:r>
    </w:p>
    <w:p w14:paraId="5EF4AEF1">
      <w:pPr>
        <w:spacing w:before="60" w:after="120"/>
        <w:jc w:val="center"/>
      </w:pPr>
      <w:r>
        <w:rPr>
          <w:rFonts w:ascii="宋体" w:hAnsi="宋体" w:eastAsia="宋体" w:cs="宋体"/>
          <w:b/>
          <w:bCs/>
          <w:color w:val="404040"/>
          <w:sz w:val="22"/>
          <w:szCs w:val="22"/>
        </w:rPr>
        <w:t>表4  邯郸银行信用风险管理对策建议综合框架</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026"/>
      </w:tblGrid>
      <w:tr w14:paraId="3BB4FFA4">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4099F77F">
            <w:pPr>
              <w:jc w:val="center"/>
            </w:pPr>
            <w:r>
              <w:rPr>
                <w:rFonts w:ascii="宋体" w:hAnsi="宋体" w:eastAsia="宋体" w:cs="宋体"/>
                <w:b/>
                <w:bCs/>
                <w:color w:val="FFFFFF"/>
                <w:sz w:val="22"/>
                <w:szCs w:val="22"/>
              </w:rPr>
              <w:t>问题维度</w:t>
            </w:r>
          </w:p>
        </w:tc>
        <w:tc>
          <w:tcPr>
            <w:tcW w:w="4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08AB1728">
            <w:pPr>
              <w:jc w:val="center"/>
            </w:pPr>
            <w:r>
              <w:rPr>
                <w:rFonts w:ascii="宋体" w:hAnsi="宋体" w:eastAsia="宋体" w:cs="宋体"/>
                <w:b/>
                <w:bCs/>
                <w:color w:val="FFFFFF"/>
                <w:sz w:val="22"/>
                <w:szCs w:val="22"/>
              </w:rPr>
              <w:t>主要对策</w:t>
            </w:r>
          </w:p>
        </w:tc>
        <w:tc>
          <w:tcPr>
            <w:tcW w:w="3026"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67984122">
            <w:pPr>
              <w:jc w:val="center"/>
            </w:pPr>
            <w:r>
              <w:rPr>
                <w:rFonts w:ascii="宋体" w:hAnsi="宋体" w:eastAsia="宋体" w:cs="宋体"/>
                <w:b/>
                <w:bCs/>
                <w:color w:val="FFFFFF"/>
                <w:sz w:val="22"/>
                <w:szCs w:val="22"/>
              </w:rPr>
              <w:t>预期效果</w:t>
            </w:r>
          </w:p>
        </w:tc>
      </w:tr>
      <w:tr w14:paraId="694EDC7D">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8196217">
            <w:pPr>
              <w:jc w:val="left"/>
            </w:pPr>
            <w:r>
              <w:rPr>
                <w:rFonts w:ascii="宋体" w:hAnsi="宋体" w:eastAsia="宋体" w:cs="宋体"/>
                <w:b w:val="0"/>
                <w:bCs w:val="0"/>
                <w:color w:val="000000"/>
                <w:sz w:val="20"/>
                <w:szCs w:val="20"/>
              </w:rPr>
              <w:t>信贷结构集中</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53BD65">
            <w:pPr>
              <w:jc w:val="center"/>
            </w:pPr>
            <w:r>
              <w:rPr>
                <w:rFonts w:ascii="宋体" w:hAnsi="宋体" w:eastAsia="宋体" w:cs="宋体"/>
                <w:b w:val="0"/>
                <w:bCs w:val="0"/>
                <w:color w:val="000000"/>
                <w:sz w:val="20"/>
                <w:szCs w:val="20"/>
              </w:rPr>
              <w:t>行业“红黄绿”准入、行业集中度上限管控</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AF6711B">
            <w:pPr>
              <w:jc w:val="center"/>
            </w:pPr>
            <w:r>
              <w:rPr>
                <w:rFonts w:ascii="宋体" w:hAnsi="宋体" w:eastAsia="宋体" w:cs="宋体"/>
                <w:b w:val="0"/>
                <w:bCs w:val="0"/>
                <w:color w:val="000000"/>
                <w:sz w:val="20"/>
                <w:szCs w:val="20"/>
              </w:rPr>
              <w:t>建筑业占比压降至8%以内，提升结构多元化</w:t>
            </w:r>
          </w:p>
        </w:tc>
      </w:tr>
      <w:tr w14:paraId="178ABDCA">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1F96CCA">
            <w:pPr>
              <w:jc w:val="left"/>
            </w:pPr>
            <w:r>
              <w:rPr>
                <w:rFonts w:ascii="宋体" w:hAnsi="宋体" w:eastAsia="宋体" w:cs="宋体"/>
                <w:b w:val="0"/>
                <w:bCs w:val="0"/>
                <w:color w:val="000000"/>
                <w:sz w:val="20"/>
                <w:szCs w:val="20"/>
              </w:rPr>
              <w:t>客户信息不对称</w:t>
            </w:r>
          </w:p>
        </w:tc>
        <w:tc>
          <w:tcPr>
            <w:tcW w:w="4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17C6636">
            <w:pPr>
              <w:jc w:val="center"/>
            </w:pPr>
            <w:r>
              <w:rPr>
                <w:rFonts w:ascii="宋体" w:hAnsi="宋体" w:eastAsia="宋体" w:cs="宋体"/>
                <w:b w:val="0"/>
                <w:bCs w:val="0"/>
                <w:color w:val="000000"/>
                <w:sz w:val="20"/>
                <w:szCs w:val="20"/>
              </w:rPr>
              <w:t>接入政务数据、税务发票、替代数据</w:t>
            </w:r>
          </w:p>
        </w:tc>
        <w:tc>
          <w:tcPr>
            <w:tcW w:w="3026"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A5C0BF0">
            <w:pPr>
              <w:jc w:val="center"/>
            </w:pPr>
            <w:r>
              <w:rPr>
                <w:rFonts w:ascii="宋体" w:hAnsi="宋体" w:eastAsia="宋体" w:cs="宋体"/>
                <w:b w:val="0"/>
                <w:bCs w:val="0"/>
                <w:color w:val="000000"/>
                <w:sz w:val="20"/>
                <w:szCs w:val="20"/>
              </w:rPr>
              <w:t>客户画像维度提升50%以上</w:t>
            </w:r>
          </w:p>
        </w:tc>
      </w:tr>
      <w:tr w14:paraId="078324E5">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499650">
            <w:pPr>
              <w:jc w:val="left"/>
            </w:pPr>
            <w:r>
              <w:rPr>
                <w:rFonts w:ascii="宋体" w:hAnsi="宋体" w:eastAsia="宋体" w:cs="宋体"/>
                <w:b w:val="0"/>
                <w:bCs w:val="0"/>
                <w:color w:val="000000"/>
                <w:sz w:val="20"/>
                <w:szCs w:val="20"/>
              </w:rPr>
              <w:t>风险识别滞后</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0AD20A">
            <w:pPr>
              <w:jc w:val="center"/>
            </w:pPr>
            <w:r>
              <w:rPr>
                <w:rFonts w:ascii="宋体" w:hAnsi="宋体" w:eastAsia="宋体" w:cs="宋体"/>
                <w:b w:val="0"/>
                <w:bCs w:val="0"/>
                <w:color w:val="000000"/>
                <w:sz w:val="20"/>
                <w:szCs w:val="20"/>
              </w:rPr>
              <w:t>建立内部评级系统、实时预警平台、大模型辅助审核</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441E060">
            <w:pPr>
              <w:jc w:val="center"/>
            </w:pPr>
            <w:r>
              <w:rPr>
                <w:rFonts w:ascii="宋体" w:hAnsi="宋体" w:eastAsia="宋体" w:cs="宋体"/>
                <w:b w:val="0"/>
                <w:bCs w:val="0"/>
                <w:color w:val="000000"/>
                <w:sz w:val="20"/>
                <w:szCs w:val="20"/>
              </w:rPr>
              <w:t>关注类贷款提前识别，减少“关注区间”滞留</w:t>
            </w:r>
          </w:p>
        </w:tc>
      </w:tr>
      <w:tr w14:paraId="7900E7FD">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43472715">
            <w:pPr>
              <w:jc w:val="left"/>
            </w:pPr>
            <w:r>
              <w:rPr>
                <w:rFonts w:ascii="宋体" w:hAnsi="宋体" w:eastAsia="宋体" w:cs="宋体"/>
                <w:b w:val="0"/>
                <w:bCs w:val="0"/>
                <w:color w:val="000000"/>
                <w:sz w:val="20"/>
                <w:szCs w:val="20"/>
              </w:rPr>
              <w:t>大模型应用缺失</w:t>
            </w:r>
          </w:p>
        </w:tc>
        <w:tc>
          <w:tcPr>
            <w:tcW w:w="4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2011A9DC">
            <w:pPr>
              <w:jc w:val="center"/>
            </w:pPr>
            <w:r>
              <w:rPr>
                <w:rFonts w:ascii="宋体" w:hAnsi="宋体" w:eastAsia="宋体" w:cs="宋体"/>
                <w:b w:val="0"/>
                <w:bCs w:val="0"/>
                <w:color w:val="000000"/>
                <w:sz w:val="20"/>
                <w:szCs w:val="20"/>
              </w:rPr>
              <w:t>分阶段引入LLM：舆情监测→关联挖掘→辅助审核</w:t>
            </w:r>
          </w:p>
        </w:tc>
        <w:tc>
          <w:tcPr>
            <w:tcW w:w="3026"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6FE04828">
            <w:pPr>
              <w:jc w:val="center"/>
            </w:pPr>
            <w:r>
              <w:rPr>
                <w:rFonts w:ascii="宋体" w:hAnsi="宋体" w:eastAsia="宋体" w:cs="宋体"/>
                <w:b w:val="0"/>
                <w:bCs w:val="0"/>
                <w:color w:val="000000"/>
                <w:sz w:val="20"/>
                <w:szCs w:val="20"/>
              </w:rPr>
              <w:t>预警时效从“每日”提升至实时，审核效率提升60%</w:t>
            </w:r>
          </w:p>
        </w:tc>
      </w:tr>
      <w:tr w14:paraId="12013A52">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05CA1B">
            <w:pPr>
              <w:jc w:val="left"/>
            </w:pPr>
            <w:r>
              <w:rPr>
                <w:rFonts w:ascii="宋体" w:hAnsi="宋体" w:eastAsia="宋体" w:cs="宋体"/>
                <w:b w:val="0"/>
                <w:bCs w:val="0"/>
                <w:color w:val="000000"/>
                <w:sz w:val="20"/>
                <w:szCs w:val="20"/>
              </w:rPr>
              <w:t>执行机制失效</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F79A64">
            <w:pPr>
              <w:jc w:val="center"/>
            </w:pPr>
            <w:r>
              <w:rPr>
                <w:rFonts w:ascii="宋体" w:hAnsi="宋体" w:eastAsia="宋体" w:cs="宋体"/>
                <w:b w:val="0"/>
                <w:bCs w:val="0"/>
                <w:color w:val="000000"/>
                <w:sz w:val="20"/>
                <w:szCs w:val="20"/>
              </w:rPr>
              <w:t>信贷流程数字化、关联交易专项审查</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E0A27F">
            <w:pPr>
              <w:jc w:val="center"/>
            </w:pPr>
            <w:r>
              <w:rPr>
                <w:rFonts w:ascii="宋体" w:hAnsi="宋体" w:eastAsia="宋体" w:cs="宋体"/>
                <w:b w:val="0"/>
                <w:bCs w:val="0"/>
                <w:color w:val="000000"/>
                <w:sz w:val="20"/>
                <w:szCs w:val="20"/>
              </w:rPr>
              <w:t>流程留痕率100%，关联风险敞口可视化</w:t>
            </w:r>
          </w:p>
        </w:tc>
      </w:tr>
      <w:tr w14:paraId="509D4029">
        <w:tc>
          <w:tcPr>
            <w:tcW w:w="2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7DC8CFE3">
            <w:pPr>
              <w:jc w:val="left"/>
            </w:pPr>
            <w:r>
              <w:rPr>
                <w:rFonts w:ascii="宋体" w:hAnsi="宋体" w:eastAsia="宋体" w:cs="宋体"/>
                <w:b w:val="0"/>
                <w:bCs w:val="0"/>
                <w:color w:val="000000"/>
                <w:sz w:val="20"/>
                <w:szCs w:val="20"/>
              </w:rPr>
              <w:t>考核导向偏差</w:t>
            </w:r>
          </w:p>
        </w:tc>
        <w:tc>
          <w:tcPr>
            <w:tcW w:w="4000"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575584B5">
            <w:pPr>
              <w:jc w:val="center"/>
            </w:pPr>
            <w:r>
              <w:rPr>
                <w:rFonts w:ascii="宋体" w:hAnsi="宋体" w:eastAsia="宋体" w:cs="宋体"/>
                <w:b w:val="0"/>
                <w:bCs w:val="0"/>
                <w:color w:val="000000"/>
                <w:sz w:val="20"/>
                <w:szCs w:val="20"/>
              </w:rPr>
              <w:t>风险指标纳入KPI、全链条问责</w:t>
            </w:r>
          </w:p>
        </w:tc>
        <w:tc>
          <w:tcPr>
            <w:tcW w:w="3026" w:type="dxa"/>
            <w:tcBorders>
              <w:top w:val="single" w:color="AAAAAA" w:sz="0" w:space="0"/>
              <w:left w:val="single" w:color="AAAAAA" w:sz="0" w:space="0"/>
              <w:bottom w:val="single" w:color="AAAAAA" w:sz="0" w:space="0"/>
              <w:right w:val="single" w:color="AAAAAA" w:sz="0" w:space="0"/>
            </w:tcBorders>
            <w:shd w:val="clear" w:color="auto" w:fill="D6E4F0"/>
            <w:tcMar>
              <w:top w:w="80" w:type="dxa"/>
              <w:left w:w="120" w:type="dxa"/>
              <w:bottom w:w="80" w:type="dxa"/>
              <w:right w:w="120" w:type="dxa"/>
            </w:tcMar>
            <w:vAlign w:val="center"/>
          </w:tcPr>
          <w:p w14:paraId="302D8A61">
            <w:pPr>
              <w:jc w:val="center"/>
            </w:pPr>
            <w:r>
              <w:rPr>
                <w:rFonts w:ascii="宋体" w:hAnsi="宋体" w:eastAsia="宋体" w:cs="宋体"/>
                <w:b w:val="0"/>
                <w:bCs w:val="0"/>
                <w:color w:val="000000"/>
                <w:sz w:val="20"/>
                <w:szCs w:val="20"/>
              </w:rPr>
              <w:t>贷后检查覆盖率提升至95%以上</w:t>
            </w:r>
          </w:p>
        </w:tc>
      </w:tr>
      <w:tr w14:paraId="4C1A3E22">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2BB6F7">
            <w:pPr>
              <w:jc w:val="left"/>
            </w:pPr>
            <w:r>
              <w:rPr>
                <w:rFonts w:ascii="宋体" w:hAnsi="宋体" w:eastAsia="宋体" w:cs="宋体"/>
                <w:b w:val="0"/>
                <w:bCs w:val="0"/>
                <w:color w:val="000000"/>
                <w:sz w:val="20"/>
                <w:szCs w:val="20"/>
              </w:rPr>
              <w:t>人才能力不足</w:t>
            </w:r>
          </w:p>
        </w:tc>
        <w:tc>
          <w:tcPr>
            <w:tcW w:w="4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FBD335">
            <w:pPr>
              <w:jc w:val="center"/>
            </w:pPr>
            <w:r>
              <w:rPr>
                <w:rFonts w:ascii="宋体" w:hAnsi="宋体" w:eastAsia="宋体" w:cs="宋体"/>
                <w:b w:val="0"/>
                <w:bCs w:val="0"/>
                <w:color w:val="000000"/>
                <w:sz w:val="20"/>
                <w:szCs w:val="20"/>
              </w:rPr>
              <w:t>分层培训体系、引进高端人才、大模型操作培训</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33D6BE8">
            <w:pPr>
              <w:jc w:val="center"/>
            </w:pPr>
            <w:r>
              <w:rPr>
                <w:rFonts w:ascii="宋体" w:hAnsi="宋体" w:eastAsia="宋体" w:cs="宋体"/>
                <w:b w:val="0"/>
                <w:bCs w:val="0"/>
                <w:color w:val="000000"/>
                <w:sz w:val="20"/>
                <w:szCs w:val="20"/>
              </w:rPr>
              <w:t>风险量化分析人员数量翻倍</w:t>
            </w:r>
          </w:p>
        </w:tc>
      </w:tr>
    </w:tbl>
    <w:p w14:paraId="63B23990">
      <w:pPr>
        <w:spacing w:before="80" w:after="200"/>
      </w:pPr>
      <w:r>
        <w:rPr>
          <w:rFonts w:ascii="宋体" w:hAnsi="宋体" w:eastAsia="宋体" w:cs="宋体"/>
          <w:i/>
          <w:iCs/>
          <w:color w:val="666666"/>
          <w:sz w:val="20"/>
          <w:szCs w:val="20"/>
        </w:rPr>
        <w:t>资料来源：作者整理。</w:t>
      </w:r>
    </w:p>
    <w:p w14:paraId="1F6045DF">
      <w:r>
        <w:br w:type="page"/>
      </w:r>
    </w:p>
    <w:p w14:paraId="0191DEA0">
      <w:pPr>
        <w:pStyle w:val="2"/>
      </w:pPr>
      <w:bookmarkStart w:id="23" w:name="_Toc648924995"/>
      <w:r>
        <w:rPr>
          <w:rFonts w:ascii="宋体" w:hAnsi="宋体" w:eastAsia="宋体" w:cs="宋体"/>
          <w:b/>
          <w:bCs/>
          <w:sz w:val="32"/>
          <w:szCs w:val="32"/>
        </w:rPr>
        <w:t>结论</w:t>
      </w:r>
      <w:bookmarkEnd w:id="23"/>
    </w:p>
    <w:p w14:paraId="1058B3C9">
      <w:pPr>
        <w:spacing w:before="80" w:after="80" w:line="360" w:lineRule="auto"/>
        <w:ind w:firstLine="480"/>
        <w:jc w:val="both"/>
      </w:pPr>
      <w:r>
        <w:rPr>
          <w:rFonts w:ascii="宋体" w:hAnsi="宋体" w:eastAsia="宋体" w:cs="宋体"/>
          <w:sz w:val="24"/>
          <w:szCs w:val="24"/>
        </w:rPr>
        <w:t>本文以邯郸银行股份有限公司为研究对象，基于2020—2024年五年年度报告数据，在信息不对称理论、全面风险管理理论和巴塞尔协议框架指导下，对城商行信用风险管理问题进行了系统的理论分析与实践研究。主要研究结论如下：</w:t>
      </w:r>
    </w:p>
    <w:p w14:paraId="2BA68CD1">
      <w:pPr>
        <w:spacing w:before="80" w:after="80" w:line="360" w:lineRule="auto"/>
        <w:ind w:firstLine="480"/>
        <w:jc w:val="both"/>
      </w:pPr>
      <w:r>
        <w:rPr>
          <w:rFonts w:ascii="宋体" w:hAnsi="宋体" w:eastAsia="宋体" w:cs="宋体"/>
          <w:sz w:val="24"/>
          <w:szCs w:val="24"/>
        </w:rPr>
        <w:t>第一，邯郸银行信用风险管理已建立较为完整的制度框架和组织架构，五年间资产规模持续扩张，资本充足水平稳步提升，2024年不良贷款率大幅降至1.38%，拨备覆盖率回升至204.35%，整体风险管理取得一定成效。</w:t>
      </w:r>
    </w:p>
    <w:p w14:paraId="3B28A793">
      <w:pPr>
        <w:spacing w:before="80" w:after="80" w:line="360" w:lineRule="auto"/>
        <w:ind w:firstLine="480"/>
        <w:jc w:val="both"/>
      </w:pPr>
      <w:r>
        <w:rPr>
          <w:rFonts w:ascii="宋体" w:hAnsi="宋体" w:eastAsia="宋体" w:cs="宋体"/>
          <w:sz w:val="24"/>
          <w:szCs w:val="24"/>
        </w:rPr>
        <w:t>第二，邯郸银行信用风险管理存在四大突出问题：一是信贷结构高度集中于制造业、批发零售业和建筑业，行业集中风险突出；二是风险识别技术体系落后，关注类贷款持续累积（2023年峰值10.07%）揭示了早期预警能力的不足；三是风险管控执行机制存在松弛现象，关联交易管控和拨备管理均出现周期性失当；四是人才与内控建设滞后，量化风险管理能力与业务规模不相匹配。</w:t>
      </w:r>
    </w:p>
    <w:p w14:paraId="3EB0AB59">
      <w:pPr>
        <w:spacing w:before="80" w:after="80" w:line="360" w:lineRule="auto"/>
        <w:ind w:firstLine="480"/>
        <w:jc w:val="both"/>
      </w:pPr>
      <w:r>
        <w:rPr>
          <w:rFonts w:ascii="宋体" w:hAnsi="宋体" w:eastAsia="宋体" w:cs="宋体"/>
          <w:sz w:val="24"/>
          <w:szCs w:val="24"/>
        </w:rPr>
        <w:t>第三，针对上述问题，本文从优化信贷全流程、升级智能风控系统（重点引入大语言模型赋能）、强化执行层面管理和推进人才能力建设四个维度提出系统性对策建议。其中，以大语言模型驱动的智能审核、实时舆情预警、关联关系挖掘和压力测试情景生成，是破解城商行信用风险管理技术瓶颈的关键路径；以考核机制重塑推动风控文化转型，是将制度要求转化为员工行为自觉的必要保障。</w:t>
      </w:r>
    </w:p>
    <w:p w14:paraId="357E6126">
      <w:pPr>
        <w:spacing w:before="80" w:after="80" w:line="360" w:lineRule="auto"/>
        <w:ind w:firstLine="480"/>
        <w:jc w:val="both"/>
      </w:pPr>
      <w:r>
        <w:rPr>
          <w:rFonts w:ascii="宋体" w:hAnsi="宋体" w:eastAsia="宋体" w:cs="宋体"/>
          <w:sz w:val="24"/>
          <w:szCs w:val="24"/>
        </w:rPr>
        <w:t>本研究也存在一定局限性：一是受数据可及性限制，本文主要基于公开年报数据；二是研究时段集中于2020—2024年；三是对策建议的可操作性和实施成本尚需结合邯郸银行实际情况进行深化论证。未来研究可在获取更丰富微观数据的基础上，构建更精确的实证模型，并进一步探索大模型在城商行信用风险管理中的技术路径与制度保障。</w:t>
      </w:r>
    </w:p>
    <w:p w14:paraId="39FD14F8">
      <w:r>
        <w:br w:type="page"/>
      </w:r>
    </w:p>
    <w:p w14:paraId="598CA7C8">
      <w:pPr>
        <w:pStyle w:val="2"/>
      </w:pPr>
      <w:bookmarkStart w:id="24" w:name="_Toc1560431499"/>
      <w:r>
        <w:rPr>
          <w:rFonts w:ascii="宋体" w:hAnsi="宋体" w:eastAsia="宋体" w:cs="宋体"/>
          <w:b/>
          <w:bCs/>
          <w:sz w:val="32"/>
          <w:szCs w:val="32"/>
        </w:rPr>
        <w:t>参考文献</w:t>
      </w:r>
      <w:bookmarkEnd w:id="24"/>
    </w:p>
    <w:p w14:paraId="6726D33C">
      <w:pPr>
        <w:spacing w:before="60" w:after="60" w:line="340" w:lineRule="auto"/>
        <w:ind w:left="0" w:firstLine="0"/>
      </w:pPr>
      <w:r>
        <w:rPr>
          <w:rFonts w:ascii="宋体" w:hAnsi="宋体" w:eastAsia="宋体" w:cs="宋体"/>
          <w:sz w:val="22"/>
          <w:szCs w:val="22"/>
        </w:rPr>
        <w:t>[1] 邯郸银行股份有限公司. 2020年度报告[R]. 邯郸：邯郸银行股份有限公司，2021.</w:t>
      </w:r>
    </w:p>
    <w:p w14:paraId="3CBEAE50">
      <w:pPr>
        <w:spacing w:before="60" w:after="60" w:line="340" w:lineRule="auto"/>
        <w:ind w:left="0" w:firstLine="0"/>
      </w:pPr>
      <w:r>
        <w:rPr>
          <w:rFonts w:ascii="宋体" w:hAnsi="宋体" w:eastAsia="宋体" w:cs="宋体"/>
          <w:sz w:val="22"/>
          <w:szCs w:val="22"/>
        </w:rPr>
        <w:t>[2] 邯郸银行股份有限公司. 2021年度报告[R]. 邯郸：邯郸银行股份有限公司，2022.</w:t>
      </w:r>
    </w:p>
    <w:p w14:paraId="4A980A3F">
      <w:pPr>
        <w:spacing w:before="60" w:after="60" w:line="340" w:lineRule="auto"/>
        <w:ind w:left="0" w:firstLine="0"/>
      </w:pPr>
      <w:r>
        <w:rPr>
          <w:rFonts w:ascii="宋体" w:hAnsi="宋体" w:eastAsia="宋体" w:cs="宋体"/>
          <w:sz w:val="22"/>
          <w:szCs w:val="22"/>
        </w:rPr>
        <w:t>[3] 邯郸银行股份有限公司. 2022年度报告[R]. 邯郸：邯郸银行股份有限公司，2023.</w:t>
      </w:r>
    </w:p>
    <w:p w14:paraId="309C70D3">
      <w:pPr>
        <w:spacing w:before="60" w:after="60" w:line="340" w:lineRule="auto"/>
        <w:ind w:left="0" w:firstLine="0"/>
      </w:pPr>
      <w:r>
        <w:rPr>
          <w:rFonts w:ascii="宋体" w:hAnsi="宋体" w:eastAsia="宋体" w:cs="宋体"/>
          <w:sz w:val="22"/>
          <w:szCs w:val="22"/>
        </w:rPr>
        <w:t>[4] 邯郸银行股份有限公司. 2023年度报告[R]. 邯郸：邯郸银行股份有限公司，2024.</w:t>
      </w:r>
    </w:p>
    <w:p w14:paraId="39334152">
      <w:pPr>
        <w:spacing w:before="60" w:after="60" w:line="340" w:lineRule="auto"/>
        <w:ind w:left="0" w:firstLine="0"/>
      </w:pPr>
      <w:r>
        <w:rPr>
          <w:rFonts w:ascii="宋体" w:hAnsi="宋体" w:eastAsia="宋体" w:cs="宋体"/>
          <w:sz w:val="22"/>
          <w:szCs w:val="22"/>
        </w:rPr>
        <w:t>[5] 邯郸银行股份有限公司. 2024年度报告[R]. 邯郸：邯郸银行股份有限公司，2025.</w:t>
      </w:r>
    </w:p>
    <w:p w14:paraId="283C9FBA">
      <w:pPr>
        <w:spacing w:before="60" w:after="60" w:line="340" w:lineRule="auto"/>
        <w:ind w:left="0" w:firstLine="0"/>
      </w:pPr>
      <w:r>
        <w:rPr>
          <w:rFonts w:ascii="宋体" w:hAnsi="宋体" w:eastAsia="宋体" w:cs="宋体"/>
          <w:sz w:val="22"/>
          <w:szCs w:val="22"/>
        </w:rPr>
        <w:t>[6] 中国银行保险监督管理委员会. 商业银行资本管理办法[S]. 北京：中国银行保险监督管理委员会，2012.</w:t>
      </w:r>
    </w:p>
    <w:p w14:paraId="6467E055">
      <w:pPr>
        <w:spacing w:before="60" w:after="60" w:line="340" w:lineRule="auto"/>
        <w:ind w:left="0" w:firstLine="0"/>
      </w:pPr>
      <w:r>
        <w:rPr>
          <w:rFonts w:ascii="宋体" w:hAnsi="宋体" w:eastAsia="宋体" w:cs="宋体"/>
          <w:sz w:val="22"/>
          <w:szCs w:val="22"/>
        </w:rPr>
        <w:t>[7] 中国银行保险监督管理委员会. 商业银行股权管理暂行办法[S]. 北京：中国银行保险监督管理委员会，2018.</w:t>
      </w:r>
    </w:p>
    <w:p w14:paraId="35B60D06">
      <w:pPr>
        <w:spacing w:before="60" w:after="60" w:line="340" w:lineRule="auto"/>
        <w:ind w:left="0" w:firstLine="0"/>
      </w:pPr>
      <w:r>
        <w:rPr>
          <w:rFonts w:ascii="宋体" w:hAnsi="宋体" w:eastAsia="宋体" w:cs="宋体"/>
          <w:sz w:val="22"/>
          <w:szCs w:val="22"/>
        </w:rPr>
        <w:t>[8] 中国人民银行. 中国金融稳定报告2024[R]. 北京：中国人民银行，2024.</w:t>
      </w:r>
    </w:p>
    <w:p w14:paraId="18049BAA">
      <w:pPr>
        <w:spacing w:before="60" w:after="60" w:line="340" w:lineRule="auto"/>
        <w:ind w:left="0" w:firstLine="0"/>
      </w:pPr>
      <w:r>
        <w:rPr>
          <w:rFonts w:ascii="宋体" w:hAnsi="宋体" w:eastAsia="宋体" w:cs="宋体"/>
          <w:sz w:val="22"/>
          <w:szCs w:val="22"/>
        </w:rPr>
        <w:t>[9] 邹新月. 商业银行信用风险管理研究[M]. 北京：北京大学出版社，2004.</w:t>
      </w:r>
    </w:p>
    <w:p w14:paraId="24956BD4">
      <w:pPr>
        <w:spacing w:before="60" w:after="60" w:line="340" w:lineRule="auto"/>
        <w:ind w:left="0" w:firstLine="0"/>
      </w:pPr>
      <w:r>
        <w:rPr>
          <w:rFonts w:ascii="宋体" w:hAnsi="宋体" w:eastAsia="宋体" w:cs="宋体"/>
          <w:sz w:val="22"/>
          <w:szCs w:val="22"/>
        </w:rPr>
        <w:t>[10] 沈沛龙，任若恩. KMV模型在我国上市公司信用风险度量中的应用[J]. 统计研究，2007（2）：54-60.</w:t>
      </w:r>
    </w:p>
    <w:p w14:paraId="7D4DE6F0">
      <w:pPr>
        <w:spacing w:before="60" w:after="60" w:line="340" w:lineRule="auto"/>
        <w:ind w:left="0" w:firstLine="0"/>
      </w:pPr>
      <w:r>
        <w:rPr>
          <w:rFonts w:ascii="宋体" w:hAnsi="宋体" w:eastAsia="宋体" w:cs="宋体"/>
          <w:sz w:val="22"/>
          <w:szCs w:val="22"/>
        </w:rPr>
        <w:t>[11] 王霄，张捷. 银行贷款与中小企业融资——关系型贷款及其在中国的适用性研究[J]. 金融研究，2003（8）：29-38.</w:t>
      </w:r>
    </w:p>
    <w:p w14:paraId="1D5DF4D4">
      <w:pPr>
        <w:spacing w:before="60" w:after="60" w:line="340" w:lineRule="auto"/>
        <w:ind w:left="0" w:firstLine="0"/>
      </w:pPr>
      <w:r>
        <w:rPr>
          <w:rFonts w:ascii="宋体" w:hAnsi="宋体" w:eastAsia="宋体" w:cs="宋体"/>
          <w:sz w:val="22"/>
          <w:szCs w:val="22"/>
        </w:rPr>
        <w:t>[12] 刘煜辉，熊鹏. 股权分置、政府管制和中国IPO抑价[J]. 经济研究，2004（5）：85-95.</w:t>
      </w:r>
    </w:p>
    <w:p w14:paraId="7A8031EE">
      <w:pPr>
        <w:spacing w:before="60" w:after="60" w:line="340" w:lineRule="auto"/>
        <w:ind w:left="0" w:firstLine="0"/>
      </w:pPr>
      <w:r>
        <w:rPr>
          <w:rFonts w:ascii="宋体" w:hAnsi="宋体" w:eastAsia="宋体" w:cs="宋体"/>
          <w:sz w:val="22"/>
          <w:szCs w:val="22"/>
        </w:rPr>
        <w:t>[13] 巴曙松，刘孝红，牛播坤. 转型时期中国金融体系中的地方治理与银行改革的互动研究[J]. 金融研究，2013（3）：1-16.</w:t>
      </w:r>
    </w:p>
    <w:p w14:paraId="56CE24D9">
      <w:pPr>
        <w:spacing w:before="60" w:after="60" w:line="340" w:lineRule="auto"/>
        <w:ind w:left="0" w:firstLine="0"/>
      </w:pPr>
      <w:r>
        <w:rPr>
          <w:rFonts w:ascii="宋体" w:hAnsi="宋体" w:eastAsia="宋体" w:cs="宋体"/>
          <w:sz w:val="22"/>
          <w:szCs w:val="22"/>
        </w:rPr>
        <w:t>[14] 陈雨露. 金融高质量发展与防范系统性金融风险[J]. 管理世界，2019（10）：1-9.</w:t>
      </w:r>
    </w:p>
    <w:p w14:paraId="4AD0745A">
      <w:pPr>
        <w:spacing w:before="60" w:after="60" w:line="340" w:lineRule="auto"/>
        <w:ind w:left="0" w:firstLine="0"/>
      </w:pPr>
      <w:r>
        <w:rPr>
          <w:rFonts w:ascii="宋体" w:hAnsi="宋体" w:eastAsia="宋体" w:cs="宋体"/>
          <w:sz w:val="22"/>
          <w:szCs w:val="22"/>
        </w:rPr>
        <w:t>[15] 方意，章青蓉，黄丽灵. 银行系统性风险的生成——基于同质化投资与风险共担的视角[J]. 经济研究，2021（6）：74-91.</w:t>
      </w:r>
    </w:p>
    <w:p w14:paraId="63286C7F">
      <w:pPr>
        <w:spacing w:before="60" w:after="60" w:line="340" w:lineRule="auto"/>
        <w:ind w:left="0" w:firstLine="0"/>
      </w:pPr>
      <w:r>
        <w:rPr>
          <w:rFonts w:ascii="宋体" w:hAnsi="宋体" w:eastAsia="宋体" w:cs="宋体"/>
          <w:sz w:val="22"/>
          <w:szCs w:val="22"/>
        </w:rPr>
        <w:t>[16] 黄益平，黄卓. 中国的数字金融发展：现在与未来[J]. 经济学（季刊），2018（4）：1489-1502.</w:t>
      </w:r>
    </w:p>
    <w:p w14:paraId="473CB83E">
      <w:pPr>
        <w:spacing w:before="60" w:after="60" w:line="340" w:lineRule="auto"/>
        <w:ind w:left="0" w:firstLine="0"/>
      </w:pPr>
      <w:r>
        <w:rPr>
          <w:rFonts w:ascii="宋体" w:hAnsi="宋体" w:eastAsia="宋体" w:cs="宋体"/>
          <w:sz w:val="22"/>
          <w:szCs w:val="22"/>
        </w:rPr>
        <w:t>[17] Akerlof G A. The Market for "Lemons": Quality Uncertainty and the Market Mechanism[J]. Quarterly Journal of Economics, 1970, 84(3): 488-500.</w:t>
      </w:r>
    </w:p>
    <w:p w14:paraId="14A1B953">
      <w:pPr>
        <w:spacing w:before="60" w:after="60" w:line="340" w:lineRule="auto"/>
        <w:ind w:left="0" w:firstLine="0"/>
      </w:pPr>
      <w:r>
        <w:rPr>
          <w:rFonts w:ascii="宋体" w:hAnsi="宋体" w:eastAsia="宋体" w:cs="宋体"/>
          <w:sz w:val="22"/>
          <w:szCs w:val="22"/>
        </w:rPr>
        <w:t>[18] Stiglitz J E, Weiss A. Credit Rationing in Markets with Imperfect Information[J]. American Economic Review, 1981, 71(3): 393-410.</w:t>
      </w:r>
    </w:p>
    <w:p w14:paraId="2F5D0253">
      <w:pPr>
        <w:spacing w:before="60" w:after="60" w:line="340" w:lineRule="auto"/>
        <w:ind w:left="0" w:firstLine="0"/>
      </w:pPr>
      <w:r>
        <w:rPr>
          <w:rFonts w:ascii="宋体" w:hAnsi="宋体" w:eastAsia="宋体" w:cs="宋体"/>
          <w:sz w:val="22"/>
          <w:szCs w:val="22"/>
        </w:rPr>
        <w:t>[19] Altman E I. Financial Ratios, Discriminant Analysis and the Prediction of Corporate Bankruptcy[J]. Journal of Finance, 1968, 23(4): 589-609.</w:t>
      </w:r>
    </w:p>
    <w:p w14:paraId="50C7380B">
      <w:pPr>
        <w:spacing w:before="60" w:after="60" w:line="340" w:lineRule="auto"/>
        <w:ind w:left="0" w:firstLine="0"/>
      </w:pPr>
      <w:r>
        <w:rPr>
          <w:rFonts w:ascii="宋体" w:hAnsi="宋体" w:eastAsia="宋体" w:cs="宋体"/>
          <w:sz w:val="22"/>
          <w:szCs w:val="22"/>
        </w:rPr>
        <w:t>[20] Merton R C. On the Pricing of Corporate Debt: The Risk Structure of Interest Rates[J]. Journal of Finance, 1974, 29(2): 449-470.</w:t>
      </w:r>
    </w:p>
    <w:p w14:paraId="1905742D">
      <w:pPr>
        <w:spacing w:before="60" w:after="60" w:line="340" w:lineRule="auto"/>
        <w:ind w:left="0" w:firstLine="0"/>
      </w:pPr>
      <w:r>
        <w:rPr>
          <w:rFonts w:ascii="宋体" w:hAnsi="宋体" w:eastAsia="宋体" w:cs="宋体"/>
          <w:sz w:val="22"/>
          <w:szCs w:val="22"/>
        </w:rPr>
        <w:t>[21] Berger A N, Udell G F. Small Business Credit Availability and Relationship Lending[J]. Economic Journal, 2002, 112(477): F32-F53.</w:t>
      </w:r>
    </w:p>
    <w:p w14:paraId="6A7130EB">
      <w:pPr>
        <w:spacing w:before="60" w:after="60" w:line="340" w:lineRule="auto"/>
        <w:ind w:left="0" w:firstLine="0"/>
      </w:pPr>
      <w:r>
        <w:rPr>
          <w:rFonts w:ascii="宋体" w:hAnsi="宋体" w:eastAsia="宋体" w:cs="宋体"/>
          <w:sz w:val="22"/>
          <w:szCs w:val="22"/>
        </w:rPr>
        <w:t>[22] Basel Committee on Banking Supervision. Basel III: A Global Regulatory Framework for More Resilient Banks and Banking Systems[R]. Basel: BIS, 2010.</w:t>
      </w:r>
    </w:p>
    <w:p w14:paraId="64B701DF">
      <w:pPr>
        <w:spacing w:before="60" w:after="60" w:line="340" w:lineRule="auto"/>
        <w:ind w:left="0" w:firstLine="0"/>
      </w:pPr>
      <w:r>
        <w:rPr>
          <w:rFonts w:ascii="宋体" w:hAnsi="宋体" w:eastAsia="宋体" w:cs="宋体"/>
          <w:sz w:val="22"/>
          <w:szCs w:val="22"/>
        </w:rPr>
        <w:t>[23] Lopez J A, Saidenberg M R. Evaluating Credit Risk Models[J]. Journal of Banking &amp; Finance, 2000, 24(1-2): 151-165.</w:t>
      </w:r>
    </w:p>
    <w:p w14:paraId="202584F5">
      <w:pPr>
        <w:spacing w:before="60" w:after="60" w:line="340" w:lineRule="auto"/>
        <w:ind w:left="0" w:firstLine="0"/>
      </w:pPr>
      <w:r>
        <w:rPr>
          <w:rFonts w:ascii="宋体" w:hAnsi="宋体" w:eastAsia="宋体" w:cs="宋体"/>
          <w:sz w:val="22"/>
          <w:szCs w:val="22"/>
        </w:rPr>
        <w:t>[24] COSO. Enterprise Risk Management—Integrated Framework[R]. New York: COSO, 2004.</w:t>
      </w:r>
    </w:p>
    <w:p w14:paraId="68F423B9">
      <w:pPr>
        <w:spacing w:before="60" w:after="60" w:line="340" w:lineRule="auto"/>
        <w:ind w:left="0" w:firstLine="0"/>
      </w:pPr>
      <w:r>
        <w:rPr>
          <w:rFonts w:ascii="宋体" w:hAnsi="宋体" w:eastAsia="宋体" w:cs="宋体"/>
          <w:sz w:val="22"/>
          <w:szCs w:val="22"/>
        </w:rPr>
        <w:t>[25] Brown S, Lee J, Kumar A. Large Language Models for Financial Risk Assessment: Applications and Challenges[J]. Journal of Financial Technology, 2024, 3(1): 45-72.</w:t>
      </w:r>
    </w:p>
    <w:p w14:paraId="65E8690F">
      <w:pPr>
        <w:spacing w:before="60" w:after="60" w:line="340" w:lineRule="auto"/>
        <w:ind w:left="0" w:firstLine="0"/>
      </w:pPr>
      <w:r>
        <w:rPr>
          <w:rFonts w:ascii="宋体" w:hAnsi="宋体" w:eastAsia="宋体" w:cs="宋体"/>
          <w:sz w:val="22"/>
          <w:szCs w:val="22"/>
        </w:rPr>
        <w:t>[26] 国家金融监督管理总局. 银行业金融机构2024年主要监管指标情况表[EB/OL]. https://www.cbirc.gov.cn, 2025.</w:t>
      </w: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2F38">
    <w:pPr>
      <w:pStyle w:val="8"/>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18F1D">
    <w:pPr>
      <w:pStyle w:val="9"/>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8892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CB7F">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footnotePr>
    <w:numFmt w:val="decimalEnclosedCircleChinese"/>
  </w:footnotePr>
  <w:compat>
    <w:useFELayout/>
    <w:compatSetting w:name="compatibilityMode" w:uri="http://schemas.microsoft.com/office/word" w:val="15"/>
  </w:compat>
  <w:rsids>
    <w:rsidRoot w:val="00000000"/>
    <w:rsid w:val="3CCFB823"/>
    <w:rsid w:val="3DDBA7EF"/>
    <w:rsid w:val="5BC98349"/>
    <w:rsid w:val="6C3FF5C4"/>
    <w:rsid w:val="6CFF3097"/>
    <w:rsid w:val="6FEE2E81"/>
    <w:rsid w:val="6FFAFF00"/>
    <w:rsid w:val="77F9AE76"/>
    <w:rsid w:val="7CD728F5"/>
    <w:rsid w:val="7F927740"/>
    <w:rsid w:val="7FF66ACF"/>
    <w:rsid w:val="CB2ECAD6"/>
    <w:rsid w:val="DAFFD49E"/>
    <w:rsid w:val="DBFE4689"/>
    <w:rsid w:val="DFF5A808"/>
    <w:rsid w:val="E3BB1451"/>
    <w:rsid w:val="EFEAAA54"/>
    <w:rsid w:val="EFFF4F05"/>
    <w:rsid w:val="F6DFF5E2"/>
    <w:rsid w:val="F6FA649A"/>
    <w:rsid w:val="F7EBB8E1"/>
    <w:rsid w:val="FD3F987A"/>
    <w:rsid w:val="FD9FA76B"/>
    <w:rsid w:val="FDFE0DC0"/>
    <w:rsid w:val="FE1D96E6"/>
    <w:rsid w:val="FFDFFE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uiPriority w:val="0"/>
    <w:pPr>
      <w:spacing w:before="360" w:after="200"/>
      <w:outlineLvl w:val="0"/>
    </w:pPr>
    <w:rPr>
      <w:rFonts w:ascii="宋体" w:hAnsi="宋体" w:eastAsia="宋体" w:cs="宋体"/>
      <w:b/>
      <w:bCs/>
      <w:color w:val="1F3864"/>
      <w:sz w:val="32"/>
      <w:szCs w:val="32"/>
    </w:rPr>
  </w:style>
  <w:style w:type="paragraph" w:styleId="3">
    <w:name w:val="heading 2"/>
    <w:next w:val="1"/>
    <w:uiPriority w:val="0"/>
    <w:pPr>
      <w:spacing w:before="280" w:after="160"/>
      <w:outlineLvl w:val="1"/>
    </w:pPr>
    <w:rPr>
      <w:rFonts w:ascii="宋体" w:hAnsi="宋体" w:eastAsia="宋体" w:cs="宋体"/>
      <w:b/>
      <w:bCs/>
      <w:color w:val="2E4D91"/>
      <w:sz w:val="28"/>
      <w:szCs w:val="28"/>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0"/>
  </w:style>
  <w:style w:type="paragraph" w:styleId="11">
    <w:name w:val="footnote text"/>
    <w:link w:val="19"/>
    <w:semiHidden/>
    <w:unhideWhenUsed/>
    <w:uiPriority w:val="99"/>
    <w:pPr>
      <w:spacing w:after="0" w:line="240" w:lineRule="auto"/>
    </w:pPr>
    <w:rPr>
      <w:rFonts w:ascii="宋体" w:hAnsi="宋体" w:eastAsia="宋体" w:cs="宋体"/>
      <w:sz w:val="20"/>
      <w:szCs w:val="20"/>
    </w:rPr>
  </w:style>
  <w:style w:type="paragraph" w:styleId="12">
    <w:name w:val="toc 2"/>
    <w:basedOn w:val="1"/>
    <w:next w:val="1"/>
    <w:uiPriority w:val="0"/>
    <w:pPr>
      <w:ind w:left="420" w:leftChars="200"/>
    </w:pPr>
  </w:style>
  <w:style w:type="paragraph" w:styleId="13">
    <w:name w:val="Title"/>
    <w:qFormat/>
    <w:uiPriority w:val="0"/>
    <w:rPr>
      <w:rFonts w:ascii="宋体" w:hAnsi="宋体" w:eastAsia="宋体" w:cs="宋体"/>
      <w:sz w:val="56"/>
      <w:szCs w:val="56"/>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qFormat/>
    <w:uiPriority w:val="0"/>
    <w:rPr>
      <w:rFonts w:ascii="宋体" w:hAnsi="宋体" w:eastAsia="宋体" w:cs="宋体"/>
      <w:sz w:val="24"/>
      <w:szCs w:val="24"/>
    </w:rPr>
  </w:style>
  <w:style w:type="character" w:customStyle="1" w:styleId="19">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TotalTime>96</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至尊宝</cp:lastModifiedBy>
  <dcterms:modified xsi:type="dcterms:W3CDTF">2026-03-11T17:05:02Z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15E13B67F3BCD47BA716B16989167066_42</vt:lpwstr>
  </property>
</Properties>
</file>