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300"/>
        <w:ind/>
        <w:jc w:val="center"/>
      </w:pPr>
      <w:r>
        <w:rPr>
          <w:rFonts w:ascii="SimHei" w:cs="SimHei" w:eastAsia="SimHei" w:hAnsi="SimHei"/>
          <w:b/>
          <w:bCs/>
          <w:sz w:val="36"/>
          <w:szCs w:val="36"/>
        </w:rPr>
        <w:t xml:space="preserve">本科毕业论文</w:t>
      </w:r>
    </w:p>
    <w:p>
      <w:pPr>
        <w:spacing w:before="0" w:after="0"/>
      </w:pPr>
      <w:r>
        <w:t xml:space="preserve"/>
      </w:r>
    </w:p>
    <w:p>
      <w:pPr>
        <w:spacing w:before="0" w:after="0"/>
      </w:pPr>
      <w:r>
        <w:t xml:space="preserve"/>
      </w:r>
    </w:p>
    <w:p>
      <w:pPr>
        <w:spacing w:before="0" w:after="180"/>
        <w:ind/>
        <w:jc w:val="center"/>
      </w:pPr>
      <w:r>
        <w:rPr>
          <w:rFonts w:ascii="SimHei" w:cs="SimHei" w:eastAsia="SimHei" w:hAnsi="SimHei"/>
          <w:b/>
          <w:bCs/>
          <w:sz w:val="32"/>
          <w:szCs w:val="32"/>
        </w:rPr>
        <w:t xml:space="preserve">城市商业银行信用风险管理研究</w:t>
      </w:r>
    </w:p>
    <w:p>
      <w:pPr>
        <w:spacing w:before="0" w:after="500"/>
        <w:ind/>
        <w:jc w:val="center"/>
      </w:pPr>
      <w:r>
        <w:rPr>
          <w:rFonts w:ascii="SimHei" w:cs="SimHei" w:eastAsia="SimHei" w:hAnsi="SimHei"/>
          <w:b/>
          <w:bCs/>
          <w:sz w:val="28"/>
          <w:szCs w:val="28"/>
        </w:rPr>
        <w:t xml:space="preserve">——以邯郸银行为例</w:t>
      </w:r>
    </w:p>
    <w:p>
      <w:pPr>
        <w:spacing w:before="0" w:after="0"/>
      </w:pPr>
      <w:r>
        <w:t xml:space="preserve"/>
      </w:r>
    </w:p>
    <w:p>
      <w:pPr>
        <w:spacing w:before="0" w:after="0"/>
      </w:pPr>
      <w:r>
        <w:t xml:space="preserve"/>
      </w:r>
    </w:p>
    <w:p>
      <w:pPr>
        <w:spacing w:before="0" w:after="160"/>
        <w:ind/>
        <w:jc w:val="center"/>
      </w:pPr>
      <w:r>
        <w:rPr>
          <w:rFonts w:ascii="SimSun" w:cs="SimSun" w:eastAsia="SimSun" w:hAnsi="SimSun"/>
          <w:sz w:val="26"/>
          <w:szCs w:val="26"/>
        </w:rPr>
        <w:t xml:space="preserve">学    院：金融学院</w:t>
      </w:r>
    </w:p>
    <w:p>
      <w:pPr>
        <w:spacing w:before="0" w:after="160"/>
        <w:ind/>
        <w:jc w:val="center"/>
      </w:pPr>
      <w:r>
        <w:rPr>
          <w:rFonts w:ascii="SimSun" w:cs="SimSun" w:eastAsia="SimSun" w:hAnsi="SimSun"/>
          <w:sz w:val="26"/>
          <w:szCs w:val="26"/>
        </w:rPr>
        <w:t xml:space="preserve">专    业：金融学</w:t>
      </w:r>
    </w:p>
    <w:p>
      <w:pPr>
        <w:spacing w:before="0" w:after="160"/>
        <w:ind/>
        <w:jc w:val="center"/>
      </w:pPr>
      <w:r>
        <w:rPr>
          <w:rFonts w:ascii="SimSun" w:cs="SimSun" w:eastAsia="SimSun" w:hAnsi="SimSun"/>
          <w:sz w:val="26"/>
          <w:szCs w:val="26"/>
        </w:rPr>
        <w:t xml:space="preserve">学生姓名：</w:t>
      </w:r>
    </w:p>
    <w:p>
      <w:pPr>
        <w:spacing w:before="0" w:after="160"/>
        <w:ind/>
        <w:jc w:val="center"/>
      </w:pPr>
      <w:r>
        <w:rPr>
          <w:rFonts w:ascii="SimSun" w:cs="SimSun" w:eastAsia="SimSun" w:hAnsi="SimSun"/>
          <w:sz w:val="26"/>
          <w:szCs w:val="26"/>
        </w:rPr>
        <w:t xml:space="preserve">学    号：</w:t>
      </w:r>
    </w:p>
    <w:p>
      <w:pPr>
        <w:spacing w:before="0" w:after="160"/>
        <w:ind/>
        <w:jc w:val="center"/>
      </w:pPr>
      <w:r>
        <w:rPr>
          <w:rFonts w:ascii="SimSun" w:cs="SimSun" w:eastAsia="SimSun" w:hAnsi="SimSun"/>
          <w:sz w:val="26"/>
          <w:szCs w:val="26"/>
        </w:rPr>
        <w:t xml:space="preserve">指导教师：</w:t>
      </w:r>
    </w:p>
    <w:p>
      <w:pPr>
        <w:spacing w:before="0" w:after="160"/>
        <w:ind/>
        <w:jc w:val="center"/>
      </w:pPr>
      <w:r>
        <w:rPr>
          <w:rFonts w:ascii="SimSun" w:cs="SimSun" w:eastAsia="SimSun" w:hAnsi="SimSun"/>
          <w:sz w:val="26"/>
          <w:szCs w:val="26"/>
        </w:rPr>
        <w:t xml:space="preserve">完成时间：2025年</w:t>
      </w:r>
    </w:p>
    <w:p>
      <w:r>
        <w:br w:type="page"/>
      </w:r>
    </w:p>
    <w:p>
      <w:pPr>
        <w:spacing w:before="200" w:after="200"/>
        <w:ind/>
        <w:jc w:val="center"/>
      </w:pPr>
      <w:r>
        <w:rPr>
          <w:rFonts w:ascii="SimHei" w:cs="SimHei" w:eastAsia="SimHei" w:hAnsi="SimHei"/>
          <w:b/>
          <w:bCs/>
          <w:sz w:val="28"/>
          <w:szCs w:val="28"/>
        </w:rPr>
        <w:t xml:space="preserve">摘  要</w:t>
      </w:r>
    </w:p>
    <w:p>
      <w:pPr>
        <w:spacing w:line="480" w:before="0" w:after="100"/>
        <w:ind w:firstLine="480"/>
        <w:jc w:val="both"/>
      </w:pPr>
      <w:r>
        <w:rPr>
          <w:rFonts w:ascii="SimSun" w:cs="SimSun" w:eastAsia="SimSun" w:hAnsi="SimSun"/>
          <w:b w:val="false"/>
          <w:bCs w:val="false"/>
          <w:sz w:val="24"/>
          <w:szCs w:val="24"/>
        </w:rPr>
        <w:t xml:space="preserve">城市商业银行是我国银行体系的重要组成部分，承担着服务地方经济、支持中小微企业融资的重要职能。然而，由于区域集中度高、客户资质参差不齐、风险分散能力相对有限，信用风险始终是城商行面临的核心挑战。党的二十大以来，金融高质量发展被提升至战略高度，进一步强化了城商行完善信用风险管理体系的紧迫性。</w:t>
      </w:r>
    </w:p>
    <w:p>
      <w:pPr>
        <w:spacing w:line="480" w:before="0" w:after="100"/>
        <w:ind w:firstLine="480"/>
        <w:jc w:val="both"/>
      </w:pPr>
      <w:r>
        <w:rPr>
          <w:rFonts w:ascii="SimSun" w:cs="SimSun" w:eastAsia="SimSun" w:hAnsi="SimSun"/>
          <w:b w:val="false"/>
          <w:bCs w:val="false"/>
          <w:sz w:val="24"/>
          <w:szCs w:val="24"/>
        </w:rPr>
        <w:t xml:space="preserve">本文以邯郸银行股份有限公司为研究对象，系统梳理该行2020—2024年五年间的年度报告数据，运用信息不对称理论、全面风险管理理论及巴塞尔协议框架对其信用风险管理实践进行深入分析。研究发现：邯郸银行信用风险管理取得了一定成效，资产规模从2020年末1,809亿元增至2024年末2,492亿元，不良贷款率由2023年高点2.24%于2024年显著回落至1.38%，拨备覆盖率于2024年提升至204.35%，资本充足率持续高于监管要求；但同时也存在信贷结构高度集中、关注类贷款占比持续攀升（2023年峰值10.07%）、风险识别技术体系较为落后、风控执行机制存在松弛、信用风险人才相对匮乏等突出问题。</w:t>
      </w:r>
    </w:p>
    <w:p>
      <w:pPr>
        <w:spacing w:line="480" w:before="0" w:after="100"/>
        <w:ind w:firstLine="480"/>
        <w:jc w:val="both"/>
      </w:pPr>
      <w:r>
        <w:rPr>
          <w:rFonts w:ascii="SimSun" w:cs="SimSun" w:eastAsia="SimSun" w:hAnsi="SimSun"/>
          <w:b w:val="false"/>
          <w:bCs w:val="false"/>
          <w:sz w:val="24"/>
          <w:szCs w:val="24"/>
        </w:rPr>
        <w:t xml:space="preserve">针对上述问题，本文提出优化信贷全流程管理、升级智能风控系统（融入大模型AI等前沿技术）、强化执行层面管理与推进人才能力建设四个维度的对策建议，旨在为邯郸银行及同类城市商业银行提升信用风险管理水平提供参考。</w:t>
      </w:r>
    </w:p>
    <w:p>
      <w:pPr>
        <w:spacing w:before="0" w:after="0"/>
      </w:pPr>
      <w:r>
        <w:t xml:space="preserve"/>
      </w:r>
    </w:p>
    <w:p>
      <w:pPr>
        <w:spacing w:before="0" w:after="120"/>
        <w:ind/>
      </w:pPr>
      <w:r>
        <w:rPr>
          <w:rFonts w:ascii="SimSun" w:cs="SimSun" w:eastAsia="SimSun" w:hAnsi="SimSun"/>
          <w:sz w:val="24"/>
          <w:szCs w:val="24"/>
        </w:rPr>
        <w:t xml:space="preserve">关键词：城市商业银行；信用风险；风险管理；大模型AI；邯郸银行；不良贷款率</w:t>
      </w:r>
    </w:p>
    <w:p>
      <w:r>
        <w:br w:type="page"/>
      </w:r>
    </w:p>
    <w:p>
      <w:pPr>
        <w:spacing w:before="200" w:after="200"/>
        <w:ind/>
        <w:jc w:val="center"/>
      </w:pPr>
      <w:r>
        <w:rPr>
          <w:rFonts w:ascii="Times New Roman" w:cs="Times New Roman" w:eastAsia="Times New Roman" w:hAnsi="Times New Roman"/>
          <w:b/>
          <w:bCs/>
          <w:sz w:val="28"/>
          <w:szCs w:val="28"/>
        </w:rPr>
        <w:t xml:space="preserve">Abstract</w:t>
      </w:r>
    </w:p>
    <w:p>
      <w:pPr>
        <w:spacing w:line="480" w:before="0" w:after="120"/>
        <w:ind w:firstLine="480"/>
        <w:jc w:val="both"/>
      </w:pPr>
      <w:r>
        <w:rPr>
          <w:rFonts w:ascii="Times New Roman" w:cs="Times New Roman" w:eastAsia="Times New Roman" w:hAnsi="Times New Roman"/>
          <w:sz w:val="22"/>
          <w:szCs w:val="22"/>
        </w:rPr>
        <w:t xml:space="preserve">City commercial banks play a vital role in China's banking system by serving local economies and supporting small-to-medium enterprises. Due to their high regional concentration, heterogeneous borrower quality, and limited risk diversification capacity, credit risk remains their core challenge. This paper takes Handan Bank Co., Ltd. as a case study and analyzes its annual report data from 2020 to 2024, applying theoretical frameworks including information asymmetry, enterprise risk management, and the Basel Accord. The study finds that while Handan Bank has made notable progress in credit risk management, it still faces persistent challenges including concentrated credit portfolio, surging special-mention loans (peaking at 10.07% in 2023), lagging risk identification technology, weak execution mechanisms, and talent shortfalls. Leveraging the emerging era of large language models (LLMs) and AI, this paper proposes four strategic recommendations: optimizing the full credit lifecycle, upgrading intelligent risk control systems incorporating LLM-based analysis, strengthening execution-level management, and building risk management talent capacity.</w:t>
      </w:r>
    </w:p>
    <w:p>
      <w:pPr>
        <w:spacing w:before="60" w:after="120"/>
        <w:ind/>
      </w:pPr>
      <w:r>
        <w:rPr>
          <w:rFonts w:ascii="Times New Roman" w:cs="Times New Roman" w:eastAsia="Times New Roman" w:hAnsi="Times New Roman"/>
          <w:sz w:val="22"/>
          <w:szCs w:val="22"/>
        </w:rPr>
        <w:t xml:space="preserve">Keywords: city commercial bank; credit risk; risk management; large language model; Handan Bank; non-performing loan ratio</w:t>
      </w:r>
    </w:p>
    <w:p>
      <w:r>
        <w:br w:type="page"/>
      </w:r>
    </w:p>
    <w:p>
      <w:pPr>
        <w:pStyle w:val="Heading1"/>
        <w:spacing w:before="360" w:after="240"/>
        <w:ind/>
        <w:jc w:val="center"/>
      </w:pPr>
      <w:r>
        <w:rPr>
          <w:rFonts w:ascii="SimHei" w:cs="SimHei" w:eastAsia="SimHei" w:hAnsi="SimHei"/>
          <w:b/>
          <w:bCs/>
          <w:sz w:val="30"/>
          <w:szCs w:val="30"/>
        </w:rPr>
        <w:t xml:space="preserve">一、引言</w:t>
      </w:r>
    </w:p>
    <w:p>
      <w:pPr>
        <w:pStyle w:val="Heading2"/>
        <w:spacing w:before="240" w:after="120"/>
        <w:ind/>
      </w:pPr>
      <w:r>
        <w:rPr>
          <w:rFonts w:ascii="SimHei" w:cs="SimHei" w:eastAsia="SimHei" w:hAnsi="SimHei"/>
          <w:b/>
          <w:bCs/>
          <w:sz w:val="26"/>
          <w:szCs w:val="26"/>
        </w:rPr>
        <w:t xml:space="preserve">（一）研究背景</w:t>
      </w:r>
    </w:p>
    <w:p>
      <w:pPr>
        <w:spacing w:line="480" w:before="0" w:after="100"/>
        <w:ind w:firstLine="480"/>
        <w:jc w:val="both"/>
      </w:pPr>
      <w:r>
        <w:rPr>
          <w:rFonts w:ascii="SimSun" w:cs="SimSun" w:eastAsia="SimSun" w:hAnsi="SimSun"/>
          <w:b w:val="false"/>
          <w:bCs w:val="false"/>
          <w:sz w:val="24"/>
          <w:szCs w:val="24"/>
        </w:rPr>
        <w:t xml:space="preserve">金融是现代经济的核心，银行业的稳健运行对于维护经济金融秩序具有不可替代的基础性作用。作为我国银行体系的重要组成部分，城市商业银行（以下简称"城商行"）自20世纪90年代城市信用社改制以来，历经三十余年发展，资产规模持续扩张，已成为地方经济发展不可或缺的金融支柱。根据国家金融监督管理总局披露数据，截至2024年末，全国城商行总资产规模已突破60万亿元，在银行业整体资产中占比约15%。</w:t>
      </w:r>
    </w:p>
    <w:p>
      <w:pPr>
        <w:spacing w:line="480" w:before="0" w:after="100"/>
        <w:ind w:firstLine="480"/>
        <w:jc w:val="both"/>
      </w:pPr>
      <w:r>
        <w:rPr>
          <w:rFonts w:ascii="SimSun" w:cs="SimSun" w:eastAsia="SimSun" w:hAnsi="SimSun"/>
          <w:b w:val="false"/>
          <w:bCs w:val="false"/>
          <w:sz w:val="24"/>
          <w:szCs w:val="24"/>
        </w:rPr>
        <w:t xml:space="preserve">然而，与大型国有商业银行及全国性股份制银行相比，城商行在信用风险管理方面面临更为复杂的挑战。一方面，城商行客户群体以中小企业为主，财务透明度低、信息不对称程度高；另一方面，信贷资产高度集中于特定区域和行业，风险分散效果有限。近年来，宏观经济下行压力加大、房地产行业调整、地方政府债务风险显现等多重因素叠加，部分城商行不良贷款呈现攀升态势，信用风险管理面临严峻考验。</w:t>
      </w:r>
    </w:p>
    <w:p>
      <w:pPr>
        <w:spacing w:line="480" w:before="0" w:after="100"/>
        <w:ind w:firstLine="480"/>
        <w:jc w:val="both"/>
      </w:pPr>
      <w:r>
        <w:rPr>
          <w:rFonts w:ascii="SimSun" w:cs="SimSun" w:eastAsia="SimSun" w:hAnsi="SimSun"/>
          <w:b w:val="false"/>
          <w:bCs w:val="false"/>
          <w:sz w:val="24"/>
          <w:szCs w:val="24"/>
        </w:rPr>
        <w:t xml:space="preserve">邯郸银行股份有限公司（以下简称"邯郸银行"）是河北省邯郸市最大的地方法人金融机构，是典型的区域性城商行。从历年报告来看，邯郸银行资产规模快速扩张：2020年末总资产1,809亿元，2024年末已达2,492亿元，年均复合增长率约8.3%；同期贷款余额从760亿元增长至1,385亿元。但不良贷款率在2022—2023年间明显攀升（从1.90%升至2.24%），关注类贷款占比更于2023年末高达10.07%，潜在信用风险值得高度重视。2024年，通过加强不良资产处置，不良贷款率大幅回落至1.38%，但深层次问题仍然存在。</w:t>
      </w:r>
    </w:p>
    <w:p>
      <w:pPr>
        <w:spacing w:line="480" w:before="0" w:after="100"/>
        <w:ind w:firstLine="480"/>
        <w:jc w:val="both"/>
      </w:pPr>
      <w:r>
        <w:rPr>
          <w:rFonts w:ascii="SimSun" w:cs="SimSun" w:eastAsia="SimSun" w:hAnsi="SimSun"/>
          <w:b w:val="false"/>
          <w:bCs w:val="false"/>
          <w:sz w:val="24"/>
          <w:szCs w:val="24"/>
        </w:rPr>
        <w:t xml:space="preserve">值得关注的是，以ChatGPT、DeepSeek为代表的大语言模型（Large Language Model，LLM）的横空出世，正在重塑各行各业的业务逻辑，金融风险管理领域亦不例外。AI大模型在文本理解、知识推理、异常检测等方面的突破性能力，为城商行构建新一代智能信用风险管理体系提供了重要的技术机遇。</w:t>
      </w:r>
    </w:p>
    <w:p>
      <w:pPr>
        <w:pStyle w:val="Heading2"/>
        <w:spacing w:before="240" w:after="120"/>
        <w:ind/>
      </w:pPr>
      <w:r>
        <w:rPr>
          <w:rFonts w:ascii="SimHei" w:cs="SimHei" w:eastAsia="SimHei" w:hAnsi="SimHei"/>
          <w:b/>
          <w:bCs/>
          <w:sz w:val="26"/>
          <w:szCs w:val="26"/>
        </w:rPr>
        <w:t xml:space="preserve">（二）研究意义</w:t>
      </w:r>
    </w:p>
    <w:p>
      <w:pPr>
        <w:pStyle w:val="Heading3"/>
        <w:spacing w:before="200" w:after="80"/>
        <w:ind/>
      </w:pPr>
      <w:r>
        <w:rPr>
          <w:rFonts w:ascii="SimHei" w:cs="SimHei" w:eastAsia="SimHei" w:hAnsi="SimHei"/>
          <w:b/>
          <w:bCs/>
          <w:sz w:val="24"/>
          <w:szCs w:val="24"/>
        </w:rPr>
        <w:t xml:space="preserve">1. 理论意义</w:t>
      </w:r>
    </w:p>
    <w:p>
      <w:pPr>
        <w:spacing w:line="480" w:before="0" w:after="100"/>
        <w:ind w:firstLine="480"/>
        <w:jc w:val="both"/>
      </w:pPr>
      <w:r>
        <w:rPr>
          <w:rFonts w:ascii="SimSun" w:cs="SimSun" w:eastAsia="SimSun" w:hAnsi="SimSun"/>
          <w:b w:val="false"/>
          <w:bCs w:val="false"/>
          <w:sz w:val="24"/>
          <w:szCs w:val="24"/>
        </w:rPr>
        <w:t xml:space="preserve">本文将信息不对称理论、全面风险管理理论和巴塞尔协议框架应用于城商行信用风险管理分析，并尝试将大模型AI技术融入风险管理对策框架，丰富了数智化时代银行信用风险管理理论的应用研究维度。</w:t>
      </w:r>
    </w:p>
    <w:p>
      <w:pPr>
        <w:pStyle w:val="Heading3"/>
        <w:spacing w:before="200" w:after="80"/>
        <w:ind/>
      </w:pPr>
      <w:r>
        <w:rPr>
          <w:rFonts w:ascii="SimHei" w:cs="SimHei" w:eastAsia="SimHei" w:hAnsi="SimHei"/>
          <w:b/>
          <w:bCs/>
          <w:sz w:val="24"/>
          <w:szCs w:val="24"/>
        </w:rPr>
        <w:t xml:space="preserve">2. 实践意义</w:t>
      </w:r>
    </w:p>
    <w:p>
      <w:pPr>
        <w:spacing w:line="480" w:before="0" w:after="100"/>
        <w:ind w:firstLine="480"/>
        <w:jc w:val="both"/>
      </w:pPr>
      <w:r>
        <w:rPr>
          <w:rFonts w:ascii="SimSun" w:cs="SimSun" w:eastAsia="SimSun" w:hAnsi="SimSun"/>
          <w:b w:val="false"/>
          <w:bCs w:val="false"/>
          <w:sz w:val="24"/>
          <w:szCs w:val="24"/>
        </w:rPr>
        <w:t xml:space="preserve">本文研究成果可为邯郸银行优化信贷结构、健全风险预警机制、强化内部控制、拥抱AI技术转型提供具体的对策建议，同时对河北省及全国同类城商行防范化解信用风险具有借鉴价值。</w:t>
      </w:r>
    </w:p>
    <w:p>
      <w:pPr>
        <w:pStyle w:val="Heading2"/>
        <w:spacing w:before="240" w:after="120"/>
        <w:ind/>
      </w:pPr>
      <w:r>
        <w:rPr>
          <w:rFonts w:ascii="SimHei" w:cs="SimHei" w:eastAsia="SimHei" w:hAnsi="SimHei"/>
          <w:b/>
          <w:bCs/>
          <w:sz w:val="26"/>
          <w:szCs w:val="26"/>
        </w:rPr>
        <w:t xml:space="preserve">（三）文献综述</w:t>
      </w:r>
    </w:p>
    <w:p>
      <w:pPr>
        <w:pStyle w:val="Heading3"/>
        <w:spacing w:before="200" w:after="80"/>
        <w:ind/>
      </w:pPr>
      <w:r>
        <w:rPr>
          <w:rFonts w:ascii="SimHei" w:cs="SimHei" w:eastAsia="SimHei" w:hAnsi="SimHei"/>
          <w:b/>
          <w:bCs/>
          <w:sz w:val="24"/>
          <w:szCs w:val="24"/>
        </w:rPr>
        <w:t xml:space="preserve">1. 国内相关研究</w:t>
      </w:r>
    </w:p>
    <w:p>
      <w:pPr>
        <w:spacing w:line="480" w:before="0" w:after="100"/>
        <w:ind w:firstLine="480"/>
        <w:jc w:val="both"/>
      </w:pPr>
      <w:r>
        <w:rPr>
          <w:rFonts w:ascii="SimSun" w:cs="SimSun" w:eastAsia="SimSun" w:hAnsi="SimSun"/>
          <w:b w:val="false"/>
          <w:bCs w:val="false"/>
          <w:sz w:val="24"/>
          <w:szCs w:val="24"/>
        </w:rPr>
        <w:t xml:space="preserve">关于银行信用风险的国内研究历经从定性描述到定量模型的演变。邹新月（2004）较早系统梳理了商业银行信用风险的成因；沈沛龙、任若恩（2007）将KMV模型引入我国上市公司信用风险度量；王霄、张捷（2003）指出关系型融资是缓解中小企业信息不对称问题的有效机制；巴曙松等（2013）研究了城商行风险管理的制度性缺陷；陈雨露（2019）强调城商行应聚焦主业提升风险管理能力；方意等（2021）基于机器学习构建城商行信用风险传染模型。近年来，随着大模型技术兴起，周宇（2023）、李建军等（2024）探讨了LLM在金融文本分析和信用风险评估中的应用前景，认为大模型的知识推理和语义理解能力可有效弥补传统量化模型的局限性。</w:t>
      </w:r>
    </w:p>
    <w:p>
      <w:pPr>
        <w:pStyle w:val="Heading3"/>
        <w:spacing w:before="200" w:after="80"/>
        <w:ind/>
      </w:pPr>
      <w:r>
        <w:rPr>
          <w:rFonts w:ascii="SimHei" w:cs="SimHei" w:eastAsia="SimHei" w:hAnsi="SimHei"/>
          <w:b/>
          <w:bCs/>
          <w:sz w:val="24"/>
          <w:szCs w:val="24"/>
        </w:rPr>
        <w:t xml:space="preserve">2. 国外相关研究</w:t>
      </w:r>
    </w:p>
    <w:p>
      <w:pPr>
        <w:spacing w:line="480" w:before="0" w:after="100"/>
        <w:ind w:firstLine="480"/>
        <w:jc w:val="both"/>
      </w:pPr>
      <w:r>
        <w:rPr>
          <w:rFonts w:ascii="SimSun" w:cs="SimSun" w:eastAsia="SimSun" w:hAnsi="SimSun"/>
          <w:b w:val="false"/>
          <w:bCs w:val="false"/>
          <w:sz w:val="24"/>
          <w:szCs w:val="24"/>
        </w:rPr>
        <w:t xml:space="preserve">Altman（1968）Z-Score模型奠定了信用风险定量评估基础；Merton（1974）基于期权定价理论建立结构化违约模型；Berger与Udell（2002）研究社区银行关系型贷款特征；巴塞尔委员会（BCBS）建立了以三支柱为核心的资本监管框架。在AI风险管理领域，Addo等（2018）验证了深度学习模型在信贷违约预测方面优于传统方法；Arner等（2023）系统探讨了大模型在金融监管科技（RegTech）中的应用，指出GPT类模型在合规文本解析、非结构化风险信号提取方面具有显著优势，但也面临"幻觉"、可解释性和数据隐私等挑战。</w:t>
      </w:r>
    </w:p>
    <w:p>
      <w:pPr>
        <w:pStyle w:val="Heading3"/>
        <w:spacing w:before="200" w:after="80"/>
        <w:ind/>
      </w:pPr>
      <w:r>
        <w:rPr>
          <w:rFonts w:ascii="SimHei" w:cs="SimHei" w:eastAsia="SimHei" w:hAnsi="SimHei"/>
          <w:b/>
          <w:bCs/>
          <w:sz w:val="24"/>
          <w:szCs w:val="24"/>
        </w:rPr>
        <w:t xml:space="preserve">3. 文献述评</w:t>
      </w:r>
    </w:p>
    <w:p>
      <w:pPr>
        <w:spacing w:line="480" w:before="0" w:after="100"/>
        <w:ind w:firstLine="480"/>
        <w:jc w:val="both"/>
      </w:pPr>
      <w:r>
        <w:rPr>
          <w:rFonts w:ascii="SimSun" w:cs="SimSun" w:eastAsia="SimSun" w:hAnsi="SimSun"/>
          <w:b w:val="false"/>
          <w:bCs w:val="false"/>
          <w:sz w:val="24"/>
          <w:szCs w:val="24"/>
        </w:rPr>
        <w:t xml:space="preserve">综观已有研究，总体上存在三点不足：一是对城商行的专项研究相对匮乏；二是理论框架与实践案例结合深度不足；三是对大模型AI时代信用风险管理变革的研究尚处起步阶段，缺乏针对中小银行的落地路径研究。本文基于邯郸银行五年连续数据，力求弥补上述空白。</w:t>
      </w:r>
    </w:p>
    <w:p>
      <w:pPr>
        <w:pStyle w:val="Heading2"/>
        <w:spacing w:before="240" w:after="120"/>
        <w:ind/>
      </w:pPr>
      <w:r>
        <w:rPr>
          <w:rFonts w:ascii="SimHei" w:cs="SimHei" w:eastAsia="SimHei" w:hAnsi="SimHei"/>
          <w:b/>
          <w:bCs/>
          <w:sz w:val="26"/>
          <w:szCs w:val="26"/>
        </w:rPr>
        <w:t xml:space="preserve">（四）相关概念</w:t>
      </w:r>
    </w:p>
    <w:p>
      <w:pPr>
        <w:pStyle w:val="Heading3"/>
        <w:spacing w:before="200" w:after="80"/>
        <w:ind/>
      </w:pPr>
      <w:r>
        <w:rPr>
          <w:rFonts w:ascii="SimHei" w:cs="SimHei" w:eastAsia="SimHei" w:hAnsi="SimHei"/>
          <w:b/>
          <w:bCs/>
          <w:sz w:val="24"/>
          <w:szCs w:val="24"/>
        </w:rPr>
        <w:t xml:space="preserve">1. 城市商业银行</w:t>
      </w:r>
    </w:p>
    <w:p>
      <w:pPr>
        <w:spacing w:line="480" w:before="0" w:after="100"/>
        <w:ind w:firstLine="480"/>
        <w:jc w:val="both"/>
      </w:pPr>
      <w:r>
        <w:rPr>
          <w:rFonts w:ascii="SimSun" w:cs="SimSun" w:eastAsia="SimSun" w:hAnsi="SimSun"/>
          <w:b w:val="false"/>
          <w:bCs w:val="false"/>
          <w:sz w:val="24"/>
          <w:szCs w:val="24"/>
        </w:rPr>
        <w:t xml:space="preserve">城市商业银行是指由地方政府主导，以城市信用合作社为基础改制组建，以服务地方经济、服务中小企业、服务城市居民为定位的地方性商业银行，须依法接受国家金融监督管理总局及派出机构的审慎监管。</w:t>
      </w:r>
    </w:p>
    <w:p>
      <w:pPr>
        <w:pStyle w:val="Heading3"/>
        <w:spacing w:before="200" w:after="80"/>
        <w:ind/>
      </w:pPr>
      <w:r>
        <w:rPr>
          <w:rFonts w:ascii="SimHei" w:cs="SimHei" w:eastAsia="SimHei" w:hAnsi="SimHei"/>
          <w:b/>
          <w:bCs/>
          <w:sz w:val="24"/>
          <w:szCs w:val="24"/>
        </w:rPr>
        <w:t xml:space="preserve">2. 信用风险</w:t>
      </w:r>
    </w:p>
    <w:p>
      <w:pPr>
        <w:spacing w:line="480" w:before="0" w:after="100"/>
        <w:ind w:firstLine="480"/>
        <w:jc w:val="both"/>
      </w:pPr>
      <w:r>
        <w:rPr>
          <w:rFonts w:ascii="SimSun" w:cs="SimSun" w:eastAsia="SimSun" w:hAnsi="SimSun"/>
          <w:b w:val="false"/>
          <w:bCs w:val="false"/>
          <w:sz w:val="24"/>
          <w:szCs w:val="24"/>
        </w:rPr>
        <w:t xml:space="preserve">信用风险（Credit Risk）是指债务人或交易对手因各种原因未能按期履行合同义务，导致银行遭受经济损失的可能性，主要体现在贷款违约和信用降级两个层面，是银行各类风险中规模最大、影响最深远的风险类型。</w:t>
      </w:r>
    </w:p>
    <w:p>
      <w:pPr>
        <w:pStyle w:val="Heading3"/>
        <w:spacing w:before="200" w:after="80"/>
        <w:ind/>
      </w:pPr>
      <w:r>
        <w:rPr>
          <w:rFonts w:ascii="SimHei" w:cs="SimHei" w:eastAsia="SimHei" w:hAnsi="SimHei"/>
          <w:b/>
          <w:bCs/>
          <w:sz w:val="24"/>
          <w:szCs w:val="24"/>
        </w:rPr>
        <w:t xml:space="preserve">3. 信用风险管理</w:t>
      </w:r>
    </w:p>
    <w:p>
      <w:pPr>
        <w:spacing w:line="480" w:before="0" w:after="100"/>
        <w:ind w:firstLine="480"/>
        <w:jc w:val="both"/>
      </w:pPr>
      <w:r>
        <w:rPr>
          <w:rFonts w:ascii="SimSun" w:cs="SimSun" w:eastAsia="SimSun" w:hAnsi="SimSun"/>
          <w:b w:val="false"/>
          <w:bCs w:val="false"/>
          <w:sz w:val="24"/>
          <w:szCs w:val="24"/>
        </w:rPr>
        <w:t xml:space="preserve">信用风险管理是指银行通过建立健全的政策制度、组织架构、流程机制和技术工具，对信用风险进行识别、计量、监测、控制和报告的全过程管理活动，涵盖贷前准入、贷中监控、贷后处置三个阶段，并以充足的资本缓冲和拨备覆盖为保障。</w:t>
      </w:r>
    </w:p>
    <w:p>
      <w:r>
        <w:br w:type="page"/>
      </w:r>
    </w:p>
    <w:p>
      <w:pPr>
        <w:pStyle w:val="Heading1"/>
        <w:spacing w:before="360" w:after="240"/>
        <w:ind/>
        <w:jc w:val="center"/>
      </w:pPr>
      <w:r>
        <w:rPr>
          <w:rFonts w:ascii="SimHei" w:cs="SimHei" w:eastAsia="SimHei" w:hAnsi="SimHei"/>
          <w:b/>
          <w:bCs/>
          <w:sz w:val="30"/>
          <w:szCs w:val="30"/>
        </w:rPr>
        <w:t xml:space="preserve">二、理论基础</w:t>
      </w:r>
    </w:p>
    <w:p>
      <w:pPr>
        <w:pStyle w:val="Heading2"/>
        <w:spacing w:before="240" w:after="120"/>
        <w:ind/>
      </w:pPr>
      <w:r>
        <w:rPr>
          <w:rFonts w:ascii="SimHei" w:cs="SimHei" w:eastAsia="SimHei" w:hAnsi="SimHei"/>
          <w:b/>
          <w:bCs/>
          <w:sz w:val="26"/>
          <w:szCs w:val="26"/>
        </w:rPr>
        <w:t xml:space="preserve">（一）信息不对称理论</w:t>
      </w:r>
    </w:p>
    <w:p>
      <w:pPr>
        <w:spacing w:line="480" w:before="0" w:after="100"/>
        <w:ind w:firstLine="480"/>
        <w:jc w:val="both"/>
      </w:pPr>
      <w:r>
        <w:rPr>
          <w:rFonts w:ascii="SimSun" w:cs="SimSun" w:eastAsia="SimSun" w:hAnsi="SimSun"/>
          <w:b w:val="false"/>
          <w:bCs w:val="false"/>
          <w:sz w:val="24"/>
          <w:szCs w:val="24"/>
        </w:rPr>
        <w:t xml:space="preserve">信息不对称理论由Akerlof（1970）奠基，Stiglitz和Weiss（1981）将其应用于信贷市场，揭示了逆向选择与道德风险两大核心问题。在城商行实践中，客户以中小微企业为主，财务不透明，信息不对称问题尤为突出。该理论指导城商行通过多元化信息搜集（关系型贷款、税务数据、大数据画像等）和担保机制来缓解信息不对称。大模型AI时代，LLM对非结构化文本（工商信息、司法记录、舆情数据等）的语义理解能力，为缓解信息不对称提供了全新工具。</w:t>
      </w:r>
    </w:p>
    <w:p>
      <w:pPr>
        <w:pStyle w:val="Heading2"/>
        <w:spacing w:before="240" w:after="120"/>
        <w:ind/>
      </w:pPr>
      <w:r>
        <w:rPr>
          <w:rFonts w:ascii="SimHei" w:cs="SimHei" w:eastAsia="SimHei" w:hAnsi="SimHei"/>
          <w:b/>
          <w:bCs/>
          <w:sz w:val="26"/>
          <w:szCs w:val="26"/>
        </w:rPr>
        <w:t xml:space="preserve">（二）全面风险管理理论</w:t>
      </w:r>
    </w:p>
    <w:p>
      <w:pPr>
        <w:spacing w:line="480" w:before="0" w:after="100"/>
        <w:ind w:firstLine="480"/>
        <w:jc w:val="both"/>
      </w:pPr>
      <w:r>
        <w:rPr>
          <w:rFonts w:ascii="SimSun" w:cs="SimSun" w:eastAsia="SimSun" w:hAnsi="SimSun"/>
          <w:b w:val="false"/>
          <w:bCs w:val="false"/>
          <w:sz w:val="24"/>
          <w:szCs w:val="24"/>
        </w:rPr>
        <w:t xml:space="preserve">COSO委员会（2004）提出的全面风险管理（ERM）框架，要求将信用风险、流动性风险、市场风险、操作风险等纳入统一管理框架，实现"横向到边、纵向到底"的全覆盖。邯郸银行历年年报均明确实施《邯郸银行全面风险管理办法》，构建分工合理、职责明确、相互制衡的风险管理组织架构。然而，理论设计与实际执行之间的落差是城商行风险管理的普遍痛点，也是本文分析的核心问题之一。</w:t>
      </w:r>
    </w:p>
    <w:p>
      <w:pPr>
        <w:pStyle w:val="Heading2"/>
        <w:spacing w:before="240" w:after="120"/>
        <w:ind/>
      </w:pPr>
      <w:r>
        <w:rPr>
          <w:rFonts w:ascii="SimHei" w:cs="SimHei" w:eastAsia="SimHei" w:hAnsi="SimHei"/>
          <w:b/>
          <w:bCs/>
          <w:sz w:val="26"/>
          <w:szCs w:val="26"/>
        </w:rPr>
        <w:t xml:space="preserve">（三）巴塞尔协议（资本监管框架）</w:t>
      </w:r>
    </w:p>
    <w:p>
      <w:pPr>
        <w:spacing w:line="480" w:before="0" w:after="100"/>
        <w:ind w:firstLine="480"/>
        <w:jc w:val="both"/>
      </w:pPr>
      <w:r>
        <w:rPr>
          <w:rFonts w:ascii="SimSun" w:cs="SimSun" w:eastAsia="SimSun" w:hAnsi="SimSun"/>
          <w:b w:val="false"/>
          <w:bCs w:val="false"/>
          <w:sz w:val="24"/>
          <w:szCs w:val="24"/>
        </w:rPr>
        <w:t xml:space="preserve">巴塞尔Ⅲ以"三支柱"为核心建立全球银行业资本监管标准：第一支柱最低资本要求（核心一级资本≥4.5%，加上储备资本2.5%后总要求≥7.0%）；第二支柱监督检查（内部资本充足评估ICAAP）；第三支柱市场约束（风险信息披露）。我国监管对城商行核心一级资本充足率要求不低于7.5%，总资本充足率不低于10.5%。巴塞尔协议通过资本约束机制，倒逼银行将资本配置与风险水平挂钩，是评价邯郸银行信用风险管理的重要制度背景。</w:t>
      </w:r>
    </w:p>
    <w:p>
      <w:r>
        <w:br w:type="page"/>
      </w:r>
    </w:p>
    <w:p>
      <w:pPr>
        <w:pStyle w:val="Heading1"/>
        <w:spacing w:before="360" w:after="240"/>
        <w:ind/>
        <w:jc w:val="center"/>
      </w:pPr>
      <w:r>
        <w:rPr>
          <w:rFonts w:ascii="SimHei" w:cs="SimHei" w:eastAsia="SimHei" w:hAnsi="SimHei"/>
          <w:b/>
          <w:bCs/>
          <w:sz w:val="30"/>
          <w:szCs w:val="30"/>
        </w:rPr>
        <w:t xml:space="preserve">三、邯郸银行信用风险管理的现状</w:t>
      </w:r>
    </w:p>
    <w:p>
      <w:pPr>
        <w:pStyle w:val="Heading2"/>
        <w:spacing w:before="240" w:after="120"/>
        <w:ind/>
      </w:pPr>
      <w:r>
        <w:rPr>
          <w:rFonts w:ascii="SimHei" w:cs="SimHei" w:eastAsia="SimHei" w:hAnsi="SimHei"/>
          <w:b/>
          <w:bCs/>
          <w:sz w:val="26"/>
          <w:szCs w:val="26"/>
        </w:rPr>
        <w:t xml:space="preserve">（一）城市商业银行信用风险管理总体概况</w:t>
      </w:r>
    </w:p>
    <w:p>
      <w:pPr>
        <w:pStyle w:val="Heading3"/>
        <w:spacing w:before="200" w:after="80"/>
        <w:ind/>
      </w:pPr>
      <w:r>
        <w:rPr>
          <w:rFonts w:ascii="SimHei" w:cs="SimHei" w:eastAsia="SimHei" w:hAnsi="SimHei"/>
          <w:b/>
          <w:bCs/>
          <w:sz w:val="24"/>
          <w:szCs w:val="24"/>
        </w:rPr>
        <w:t xml:space="preserve">1. 城市商业银行信用风险管理的主要特征</w:t>
      </w:r>
    </w:p>
    <w:p>
      <w:pPr>
        <w:spacing w:line="480" w:before="0" w:after="100"/>
        <w:ind w:firstLine="480"/>
        <w:jc w:val="both"/>
      </w:pPr>
      <w:r>
        <w:rPr>
          <w:rFonts w:ascii="SimSun" w:cs="SimSun" w:eastAsia="SimSun" w:hAnsi="SimSun"/>
          <w:b w:val="false"/>
          <w:bCs w:val="false"/>
          <w:sz w:val="24"/>
          <w:szCs w:val="24"/>
        </w:rPr>
        <w:t xml:space="preserve">与大型银行相比，城商行信用风险管理具有四个显著特征：区域集中性（业务聚焦设立地，受区域经济周期影响大）、客户特殊性（中小微企业为主，财务管理规范性低）、资源约束性（人才储备、技术系统弱于大行）、政策关联性（地方政府意志对信贷决策的渗透程度较高）。</w:t>
      </w:r>
    </w:p>
    <w:p>
      <w:pPr>
        <w:pStyle w:val="Heading3"/>
        <w:spacing w:before="200" w:after="80"/>
        <w:ind/>
      </w:pPr>
      <w:r>
        <w:rPr>
          <w:rFonts w:ascii="SimHei" w:cs="SimHei" w:eastAsia="SimHei" w:hAnsi="SimHei"/>
          <w:b/>
          <w:bCs/>
          <w:sz w:val="24"/>
          <w:szCs w:val="24"/>
        </w:rPr>
        <w:t xml:space="preserve">2. 城市商业银行信用风险管理的发展趋势</w:t>
      </w:r>
    </w:p>
    <w:p>
      <w:pPr>
        <w:spacing w:line="480" w:before="0" w:after="100"/>
        <w:ind w:firstLine="480"/>
        <w:jc w:val="both"/>
      </w:pPr>
      <w:r>
        <w:rPr>
          <w:rFonts w:ascii="SimSun" w:cs="SimSun" w:eastAsia="SimSun" w:hAnsi="SimSun"/>
          <w:b w:val="false"/>
          <w:bCs w:val="false"/>
          <w:sz w:val="24"/>
          <w:szCs w:val="24"/>
        </w:rPr>
        <w:t xml:space="preserve">近年来城商行信用风险管理呈现以下趋势：数字化转型加速（大数据风控、AI评分卡广泛应用）；监管标准趋严（穿透式监管深化、关联交易管控加强）；差异化竞争深化（聚焦专精特新、普惠小微、绿色金融）；资本补充机制完善（永续债、二级资本债工具推广）；以及以大模型为代表的AI技术正在成为新一代风控基础设施。</w:t>
      </w:r>
    </w:p>
    <w:p>
      <w:pPr>
        <w:pStyle w:val="Heading2"/>
        <w:spacing w:before="240" w:after="120"/>
        <w:ind/>
      </w:pPr>
      <w:r>
        <w:rPr>
          <w:rFonts w:ascii="SimHei" w:cs="SimHei" w:eastAsia="SimHei" w:hAnsi="SimHei"/>
          <w:b/>
          <w:bCs/>
          <w:sz w:val="26"/>
          <w:szCs w:val="26"/>
        </w:rPr>
        <w:t xml:space="preserve">（二）城市商业银行信用风险管理行业实践</w:t>
      </w:r>
    </w:p>
    <w:p>
      <w:pPr>
        <w:pStyle w:val="Heading3"/>
        <w:spacing w:before="200" w:after="80"/>
        <w:ind/>
      </w:pPr>
      <w:r>
        <w:rPr>
          <w:rFonts w:ascii="SimHei" w:cs="SimHei" w:eastAsia="SimHei" w:hAnsi="SimHei"/>
          <w:b/>
          <w:bCs/>
          <w:sz w:val="24"/>
          <w:szCs w:val="24"/>
        </w:rPr>
        <w:t xml:space="preserve">1. 风险管理组织体系</w:t>
      </w:r>
    </w:p>
    <w:p>
      <w:pPr>
        <w:spacing w:line="480" w:before="0" w:after="100"/>
        <w:ind w:firstLine="480"/>
        <w:jc w:val="both"/>
      </w:pPr>
      <w:r>
        <w:rPr>
          <w:rFonts w:ascii="SimSun" w:cs="SimSun" w:eastAsia="SimSun" w:hAnsi="SimSun"/>
          <w:b w:val="false"/>
          <w:bCs w:val="false"/>
          <w:sz w:val="24"/>
          <w:szCs w:val="24"/>
        </w:rPr>
        <w:t xml:space="preserve">行业实践中，城商行通常建立"三道防线"组织架构：第一道防线为业务部门（风险识别与初步审查）；第二道防线为风险管理和合规部门（政策制定、风险审查、指标监测）；第三道防线为内部审计部门（独立有效性评价）。董事会下设风险管理委员会，统筹风险战略和重大风险决策。</w:t>
      </w:r>
    </w:p>
    <w:p>
      <w:pPr>
        <w:pStyle w:val="Heading3"/>
        <w:spacing w:before="200" w:after="80"/>
        <w:ind/>
      </w:pPr>
      <w:r>
        <w:rPr>
          <w:rFonts w:ascii="SimHei" w:cs="SimHei" w:eastAsia="SimHei" w:hAnsi="SimHei"/>
          <w:b/>
          <w:bCs/>
          <w:sz w:val="24"/>
          <w:szCs w:val="24"/>
        </w:rPr>
        <w:t xml:space="preserve">2. 风险管理制度与流程</w:t>
      </w:r>
    </w:p>
    <w:p>
      <w:pPr>
        <w:spacing w:line="480" w:before="0" w:after="100"/>
        <w:ind w:firstLine="480"/>
        <w:jc w:val="both"/>
      </w:pPr>
      <w:r>
        <w:rPr>
          <w:rFonts w:ascii="SimSun" w:cs="SimSun" w:eastAsia="SimSun" w:hAnsi="SimSun"/>
          <w:b w:val="false"/>
          <w:bCs w:val="false"/>
          <w:sz w:val="24"/>
          <w:szCs w:val="24"/>
        </w:rPr>
        <w:t xml:space="preserve">城商行信用风险管理制度体系通常包括授信管理办法、信贷审批制度、贷后管理规程、不良资产处置办法等核心制度，以贷前调查—审查审批—用信管理—贷后检查—风险预警—不良处置为完整生命周期管理链条，审贷分离、实贷实付是防控信用风险的关键控制节点。</w:t>
      </w:r>
    </w:p>
    <w:p>
      <w:pPr>
        <w:pStyle w:val="Heading3"/>
        <w:spacing w:before="200" w:after="80"/>
        <w:ind/>
      </w:pPr>
      <w:r>
        <w:rPr>
          <w:rFonts w:ascii="SimHei" w:cs="SimHei" w:eastAsia="SimHei" w:hAnsi="SimHei"/>
          <w:b/>
          <w:bCs/>
          <w:sz w:val="24"/>
          <w:szCs w:val="24"/>
        </w:rPr>
        <w:t xml:space="preserve">3. 风险管理技术工具</w:t>
      </w:r>
    </w:p>
    <w:p>
      <w:pPr>
        <w:spacing w:line="480" w:before="0" w:after="100"/>
        <w:ind w:firstLine="480"/>
        <w:jc w:val="both"/>
      </w:pPr>
      <w:r>
        <w:rPr>
          <w:rFonts w:ascii="SimSun" w:cs="SimSun" w:eastAsia="SimSun" w:hAnsi="SimSun"/>
          <w:b w:val="false"/>
          <w:bCs w:val="false"/>
          <w:sz w:val="24"/>
          <w:szCs w:val="24"/>
        </w:rPr>
        <w:t xml:space="preserve">技术工具层面，城商行主要应用：内部信用评级系统（IRS）、贷款组合风险模型（信用VaR、ES）、压力测试、风险预警系统，以及近年兴起的大数据风控平台和AI驱动的违约预测模型。部分领先城商行已开始探索将大语言模型嵌入信贷审核流程，用于非结构化信息的自动提取与风险信号识别。</w:t>
      </w:r>
    </w:p>
    <w:p>
      <w:pPr>
        <w:pStyle w:val="Heading2"/>
        <w:spacing w:before="240" w:after="120"/>
        <w:ind/>
      </w:pPr>
      <w:r>
        <w:rPr>
          <w:rFonts w:ascii="SimHei" w:cs="SimHei" w:eastAsia="SimHei" w:hAnsi="SimHei"/>
          <w:b/>
          <w:bCs/>
          <w:sz w:val="26"/>
          <w:szCs w:val="26"/>
        </w:rPr>
        <w:t xml:space="preserve">（三）邯郸银行信用风险管理现状</w:t>
      </w:r>
    </w:p>
    <w:p>
      <w:pPr>
        <w:pStyle w:val="Heading3"/>
        <w:spacing w:before="200" w:after="80"/>
        <w:ind/>
      </w:pPr>
      <w:r>
        <w:rPr>
          <w:rFonts w:ascii="SimHei" w:cs="SimHei" w:eastAsia="SimHei" w:hAnsi="SimHei"/>
          <w:b/>
          <w:bCs/>
          <w:sz w:val="24"/>
          <w:szCs w:val="24"/>
        </w:rPr>
        <w:t xml:space="preserve">1. 邯郸银行信用风险管理组织体系</w:t>
      </w:r>
    </w:p>
    <w:p>
      <w:pPr>
        <w:spacing w:line="480" w:before="0" w:after="100"/>
        <w:ind w:firstLine="480"/>
        <w:jc w:val="both"/>
      </w:pPr>
      <w:r>
        <w:rPr>
          <w:rFonts w:ascii="SimSun" w:cs="SimSun" w:eastAsia="SimSun" w:hAnsi="SimSun"/>
          <w:b w:val="false"/>
          <w:bCs w:val="false"/>
          <w:sz w:val="24"/>
          <w:szCs w:val="24"/>
        </w:rPr>
        <w:t xml:space="preserve">邯郸银行已建立较为完整的信用风险管理组织架构。董事会层面设立风险管理与资产负债管理委员会，负责监督各类风险控制、审议全面风险管理报告、拟定风险偏好和风险限额；高管层面，行长负总责，分管副行长具体抓信用风险管理；部门层面，风险管理部负责全面风险统筹，信贷管理部门一线管理，法律合规部负责合规风险，内审部独立评价。2022年成立个贷审批中心，强化第二道防线独立性；石家庄、保定分行设立审计分部实行垂直管理；2024年年报明确风险管理部牵头内控体系建设，"三道防线"职责更加清晰。</w:t>
      </w:r>
    </w:p>
    <w:p>
      <w:pPr>
        <w:pStyle w:val="Heading3"/>
        <w:spacing w:before="200" w:after="80"/>
        <w:ind/>
      </w:pPr>
      <w:r>
        <w:rPr>
          <w:rFonts w:ascii="SimHei" w:cs="SimHei" w:eastAsia="SimHei" w:hAnsi="SimHei"/>
          <w:b/>
          <w:bCs/>
          <w:sz w:val="24"/>
          <w:szCs w:val="24"/>
        </w:rPr>
        <w:t xml:space="preserve">2. 邯郸银行信用风险管理制度流程</w:t>
      </w:r>
    </w:p>
    <w:p>
      <w:pPr>
        <w:spacing w:line="480" w:before="0" w:after="100"/>
        <w:ind w:firstLine="480"/>
        <w:jc w:val="both"/>
      </w:pPr>
      <w:r>
        <w:rPr>
          <w:rFonts w:ascii="SimSun" w:cs="SimSun" w:eastAsia="SimSun" w:hAnsi="SimSun"/>
          <w:b w:val="false"/>
          <w:bCs w:val="false"/>
          <w:sz w:val="24"/>
          <w:szCs w:val="24"/>
        </w:rPr>
        <w:t xml:space="preserve">以《邯郸银行全面风险管理办法》为统领，建立了贷款"三查"、审贷分离、分级审批、贷放分离、实贷实付等核心制度。2021年起推行5000万元以上贷款预审制度；实施授信业务全口径管理和统一授信；单一集团/单一客户授信集中度限额严于监管标准（≤10%/5%）；建立行业与区域限额管理；每日监测不良、欠息、逾期动态；持续开展不良贷款清收攻坚战。</w:t>
      </w:r>
    </w:p>
    <w:p>
      <w:pPr>
        <w:pStyle w:val="Heading3"/>
        <w:spacing w:before="200" w:after="80"/>
        <w:ind/>
      </w:pPr>
      <w:r>
        <w:rPr>
          <w:rFonts w:ascii="SimHei" w:cs="SimHei" w:eastAsia="SimHei" w:hAnsi="SimHei"/>
          <w:b/>
          <w:bCs/>
          <w:sz w:val="24"/>
          <w:szCs w:val="24"/>
        </w:rPr>
        <w:t xml:space="preserve">3. 邯郸银行信用风险管理技术应用</w:t>
      </w:r>
    </w:p>
    <w:p>
      <w:pPr>
        <w:spacing w:line="480" w:before="0" w:after="100"/>
        <w:ind w:firstLine="480"/>
        <w:jc w:val="both"/>
      </w:pPr>
      <w:r>
        <w:rPr>
          <w:rFonts w:ascii="SimSun" w:cs="SimSun" w:eastAsia="SimSun" w:hAnsi="SimSun"/>
          <w:b w:val="false"/>
          <w:bCs w:val="false"/>
          <w:sz w:val="24"/>
          <w:szCs w:val="24"/>
        </w:rPr>
        <w:t xml:space="preserve">邯郸银行自建资产负债管理系统（含头寸、流动性、利率风险模块），2023年流动性及利率风险子系统上线试运行。115至100余套信息系统（不同年份数量有调整）可用率保持在99.95%以上，2024年提升至99.99%。银行构建了信息科技136个关键风险点指标体系，同城"双活"及"多活"数据中心完成建设。2024年年报明确提出推进数字化转型与"智慧银行"建设，大数据与AI的应用正在逐步推进。</w:t>
      </w:r>
    </w:p>
    <w:p>
      <w:pPr>
        <w:pStyle w:val="Heading2"/>
        <w:spacing w:before="240" w:after="120"/>
        <w:ind/>
      </w:pPr>
      <w:r>
        <w:rPr>
          <w:rFonts w:ascii="SimHei" w:cs="SimHei" w:eastAsia="SimHei" w:hAnsi="SimHei"/>
          <w:b/>
          <w:bCs/>
          <w:sz w:val="26"/>
          <w:szCs w:val="26"/>
        </w:rPr>
        <w:t xml:space="preserve">（四）邯郸银行信用风险管理成效</w:t>
      </w:r>
    </w:p>
    <w:p>
      <w:pPr>
        <w:spacing w:line="480" w:before="0" w:after="100"/>
        <w:ind w:firstLine="480"/>
        <w:jc w:val="both"/>
      </w:pPr>
      <w:r>
        <w:rPr>
          <w:rFonts w:ascii="SimSun" w:cs="SimSun" w:eastAsia="SimSun" w:hAnsi="SimSun"/>
          <w:b w:val="false"/>
          <w:bCs w:val="false"/>
          <w:sz w:val="24"/>
          <w:szCs w:val="24"/>
        </w:rPr>
        <w:t xml:space="preserve">从五年数据来看，邯郸银行信用风险管理总体取得积极成效，现结合图表进行系统分析。</w:t>
      </w:r>
    </w:p>
    <w:p>
      <w:pPr>
        <w:spacing w:before="0" w:after="0"/>
      </w:pPr>
      <w:r>
        <w:t xml:space="preserve"/>
      </w:r>
    </w:p>
    <w:p>
      <w:pPr>
        <w:spacing w:before="80" w:after="40"/>
        <w:ind/>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524500" cy="3238500"/>
                    </a:xfrm>
                    <a:prstGeom prst="rect">
                      <a:avLst/>
                    </a:prstGeom>
                  </pic:spPr>
                </pic:pic>
              </a:graphicData>
            </a:graphic>
          </wp:inline>
        </w:drawing>
      </w:r>
    </w:p>
    <w:p>
      <w:pPr>
        <w:spacing w:before="60" w:after="160"/>
        <w:ind/>
        <w:jc w:val="center"/>
      </w:pPr>
      <w:r>
        <w:rPr>
          <w:rFonts w:ascii="SimHei" w:cs="SimHei" w:eastAsia="SimHei" w:hAnsi="SimHei"/>
          <w:b/>
          <w:bCs/>
          <w:color w:val="2E4057"/>
          <w:sz w:val="21"/>
          <w:szCs w:val="21"/>
        </w:rPr>
        <w:t xml:space="preserve">图1  邯郸银行2020—2024年总资产与贷款余额规模变化</w:t>
      </w:r>
    </w:p>
    <w:p>
      <w:pPr>
        <w:spacing w:before="0" w:after="160"/>
        <w:ind/>
        <w:jc w:val="left"/>
      </w:pPr>
      <w:r>
        <w:rPr>
          <w:rFonts w:ascii="SimSun" w:cs="SimSun" w:eastAsia="SimSun" w:hAnsi="SimSun"/>
          <w:color w:val="666666"/>
          <w:sz w:val="20"/>
          <w:szCs w:val="20"/>
        </w:rPr>
        <w:t xml:space="preserve">数据来源：邯郸银行2020—2024年年度报告，作者绘制。</w:t>
      </w:r>
    </w:p>
    <w:p>
      <w:pPr>
        <w:spacing w:line="480" w:before="0" w:after="100"/>
        <w:ind w:firstLine="480"/>
        <w:jc w:val="both"/>
      </w:pPr>
      <w:r>
        <w:rPr>
          <w:rFonts w:ascii="SimSun" w:cs="SimSun" w:eastAsia="SimSun" w:hAnsi="SimSun"/>
          <w:b w:val="false"/>
          <w:bCs w:val="false"/>
          <w:sz w:val="24"/>
          <w:szCs w:val="24"/>
        </w:rPr>
        <w:t xml:space="preserve">如图1所示，邯郸银行总资产从2020年末的1,809亿元持续增长至2024年末的2,492亿元，五年累计增长38.0%，年均复合增长率约8.3%，规模扩张稳健有序。贷款余额增速更为显著，从760亿元增至1,385亿元，五年累计增幅82.2%，年均增长约16.2%，有力支持了地方实体经济发展。</w:t>
      </w:r>
    </w:p>
    <w:p>
      <w:pPr>
        <w:spacing w:before="0" w:after="0"/>
      </w:pPr>
      <w:r>
        <w:t xml:space="preserve"/>
      </w:r>
    </w:p>
    <w:p>
      <w:pPr>
        <w:spacing w:before="80" w:after="40"/>
        <w:ind/>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238500"/>
                    </a:xfrm>
                    <a:prstGeom prst="rect">
                      <a:avLst/>
                    </a:prstGeom>
                  </pic:spPr>
                </pic:pic>
              </a:graphicData>
            </a:graphic>
          </wp:inline>
        </w:drawing>
      </w:r>
    </w:p>
    <w:p>
      <w:pPr>
        <w:spacing w:before="60" w:after="160"/>
        <w:ind/>
        <w:jc w:val="center"/>
      </w:pPr>
      <w:r>
        <w:rPr>
          <w:rFonts w:ascii="SimHei" w:cs="SimHei" w:eastAsia="SimHei" w:hAnsi="SimHei"/>
          <w:b/>
          <w:bCs/>
          <w:color w:val="2E4057"/>
          <w:sz w:val="21"/>
          <w:szCs w:val="21"/>
        </w:rPr>
        <w:t xml:space="preserve">图2  邯郸银行2020—2024年不良贷款率与拨备覆盖率变动趋势</w:t>
      </w:r>
    </w:p>
    <w:p>
      <w:pPr>
        <w:spacing w:before="0" w:after="160"/>
        <w:ind/>
        <w:jc w:val="left"/>
      </w:pPr>
      <w:r>
        <w:rPr>
          <w:rFonts w:ascii="SimSun" w:cs="SimSun" w:eastAsia="SimSun" w:hAnsi="SimSun"/>
          <w:color w:val="666666"/>
          <w:sz w:val="20"/>
          <w:szCs w:val="20"/>
        </w:rPr>
        <w:t xml:space="preserve">数据来源：邯郸银行2020—2024年年度报告，作者绘制。</w:t>
      </w:r>
    </w:p>
    <w:p>
      <w:pPr>
        <w:spacing w:line="480" w:before="0" w:after="100"/>
        <w:ind w:firstLine="480"/>
        <w:jc w:val="both"/>
      </w:pPr>
      <w:r>
        <w:rPr>
          <w:rFonts w:ascii="SimSun" w:cs="SimSun" w:eastAsia="SimSun" w:hAnsi="SimSun"/>
          <w:b w:val="false"/>
          <w:bCs w:val="false"/>
          <w:sz w:val="24"/>
          <w:szCs w:val="24"/>
        </w:rPr>
        <w:t xml:space="preserve">图2清晰呈现了邯郸银行信用风险管理的阶段性特征。2020—2021年，不良贷款率在1.90%—1.96%区间小幅波动，拨备覆盖率持续提升（175.63%→182.26%），风险管理总体稳健。2022—2023年，受宏观经济下行和房地产行业调整影响，不良贷款率升至2.24%，拨备覆盖率降至136.84%，危险逼近150%的监管红线，风险压力明显加大。2024年，通过大力推进不良资产处置（批量转让、核销加速），不良贷款率大幅回落至1.38%，拨备覆盖率跃升至204.35%，风险管理能力显著回升。</w:t>
      </w:r>
    </w:p>
    <w:p>
      <w:pPr>
        <w:spacing w:before="0" w:after="0"/>
      </w:pPr>
      <w:r>
        <w:t xml:space="preserve"/>
      </w:r>
    </w:p>
    <w:p>
      <w:pPr>
        <w:spacing w:before="80" w:after="40"/>
        <w:ind/>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238500"/>
                    </a:xfrm>
                    <a:prstGeom prst="rect">
                      <a:avLst/>
                    </a:prstGeom>
                  </pic:spPr>
                </pic:pic>
              </a:graphicData>
            </a:graphic>
          </wp:inline>
        </w:drawing>
      </w:r>
    </w:p>
    <w:p>
      <w:pPr>
        <w:spacing w:before="60" w:after="160"/>
        <w:ind/>
        <w:jc w:val="center"/>
      </w:pPr>
      <w:r>
        <w:rPr>
          <w:rFonts w:ascii="SimHei" w:cs="SimHei" w:eastAsia="SimHei" w:hAnsi="SimHei"/>
          <w:b/>
          <w:bCs/>
          <w:color w:val="2E4057"/>
          <w:sz w:val="21"/>
          <w:szCs w:val="21"/>
        </w:rPr>
        <w:t xml:space="preserve">图3  邯郸银行2024年贷款行业分布（前十行业及其他）</w:t>
      </w:r>
    </w:p>
    <w:p>
      <w:pPr>
        <w:spacing w:before="0" w:after="160"/>
        <w:ind/>
        <w:jc w:val="left"/>
      </w:pPr>
      <w:r>
        <w:rPr>
          <w:rFonts w:ascii="SimSun" w:cs="SimSun" w:eastAsia="SimSun" w:hAnsi="SimSun"/>
          <w:color w:val="666666"/>
          <w:sz w:val="20"/>
          <w:szCs w:val="20"/>
        </w:rPr>
        <w:t xml:space="preserve">数据来源：邯郸银行2024年年度报告，作者绘制。</w:t>
      </w:r>
    </w:p>
    <w:p>
      <w:pPr>
        <w:spacing w:line="480" w:before="0" w:after="100"/>
        <w:ind w:firstLine="480"/>
        <w:jc w:val="both"/>
      </w:pPr>
      <w:r>
        <w:rPr>
          <w:rFonts w:ascii="SimSun" w:cs="SimSun" w:eastAsia="SimSun" w:hAnsi="SimSun"/>
          <w:b w:val="false"/>
          <w:bCs w:val="false"/>
          <w:sz w:val="24"/>
          <w:szCs w:val="24"/>
        </w:rPr>
        <w:t xml:space="preserve">图3展示了邯郸银行2024年末贷款行业分布。制造业（25.31%）、批发零售（12.45%）、建筑业（9.73%）位列前三，合计占比47.49%，行业集中度较高。"其他"类行业（27.98%）代表了多元化的小额客户群体。制造业高占比与邯郸钢铁重镇的产业结构高度吻合，但也意味着贷款质量对钢铁、煤炭等大宗商品价格的周期性波动高度敏感。</w:t>
      </w:r>
    </w:p>
    <w:p>
      <w:pPr>
        <w:spacing w:before="0" w:after="0"/>
      </w:pPr>
      <w:r>
        <w:t xml:space="preserve"/>
      </w:r>
    </w:p>
    <w:p>
      <w:pPr>
        <w:spacing w:before="80" w:after="40"/>
        <w:ind/>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38500"/>
                    </a:xfrm>
                    <a:prstGeom prst="rect">
                      <a:avLst/>
                    </a:prstGeom>
                  </pic:spPr>
                </pic:pic>
              </a:graphicData>
            </a:graphic>
          </wp:inline>
        </w:drawing>
      </w:r>
    </w:p>
    <w:p>
      <w:pPr>
        <w:spacing w:before="60" w:after="160"/>
        <w:ind/>
        <w:jc w:val="center"/>
      </w:pPr>
      <w:r>
        <w:rPr>
          <w:rFonts w:ascii="SimHei" w:cs="SimHei" w:eastAsia="SimHei" w:hAnsi="SimHei"/>
          <w:b/>
          <w:bCs/>
          <w:color w:val="2E4057"/>
          <w:sz w:val="21"/>
          <w:szCs w:val="21"/>
        </w:rPr>
        <w:t xml:space="preserve">图5  邯郸银行2020—2024年资本充足率变化与监管要求对比</w:t>
      </w:r>
    </w:p>
    <w:p>
      <w:pPr>
        <w:spacing w:before="0" w:after="160"/>
        <w:ind/>
        <w:jc w:val="left"/>
      </w:pPr>
      <w:r>
        <w:rPr>
          <w:rFonts w:ascii="SimSun" w:cs="SimSun" w:eastAsia="SimSun" w:hAnsi="SimSun"/>
          <w:color w:val="666666"/>
          <w:sz w:val="20"/>
          <w:szCs w:val="20"/>
        </w:rPr>
        <w:t xml:space="preserve">数据来源：邯郸银行2020—2024年年度报告，作者绘制。</w:t>
      </w:r>
    </w:p>
    <w:p>
      <w:pPr>
        <w:spacing w:line="480" w:before="0" w:after="100"/>
        <w:ind w:firstLine="480"/>
        <w:jc w:val="both"/>
      </w:pPr>
      <w:r>
        <w:rPr>
          <w:rFonts w:ascii="SimSun" w:cs="SimSun" w:eastAsia="SimSun" w:hAnsi="SimSun"/>
          <w:b w:val="false"/>
          <w:bCs w:val="false"/>
          <w:sz w:val="24"/>
          <w:szCs w:val="24"/>
        </w:rPr>
        <w:t xml:space="preserve">图5显示，邯郸银行各项资本充足率指标均持续高于监管要求，且总体呈提升趋势。核心一级资本充足率从2020年的8.64%提升至2024年的10.65%，总资本充足率从11.22%提升至13.88%，显示出良好的资本积累能力，为信用风险提供了充足的缓冲保障。</w:t>
      </w:r>
    </w:p>
    <w:p>
      <w:pPr>
        <w:spacing w:before="0" w:after="0"/>
      </w:pPr>
      <w:r>
        <w:t xml:space="preserve"/>
      </w:r>
    </w:p>
    <w:p>
      <w:pPr>
        <w:spacing w:before="160" w:after="80"/>
        <w:ind/>
        <w:jc w:val="center"/>
      </w:pPr>
      <w:r>
        <w:rPr>
          <w:rFonts w:ascii="SimHei" w:cs="SimHei" w:eastAsia="SimHei" w:hAnsi="SimHei"/>
          <w:b/>
          <w:bCs/>
          <w:sz w:val="22"/>
          <w:szCs w:val="22"/>
        </w:rPr>
        <w:t xml:space="preserve">表1  邯郸银行2020—2024年信用风险管理关键指标一览</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100"/>
        <w:gridCol w:w="1020"/>
        <w:gridCol w:w="1020"/>
        <w:gridCol w:w="1020"/>
        <w:gridCol w:w="1010"/>
        <w:gridCol w:w="1030"/>
      </w:tblGrid>
      <w:tr>
        <w:trPr>
          <w:tblHeader/>
        </w:trPr>
        <w:tc>
          <w:tcPr>
            <w:tcW w:type="dxa" w:w="2100"/>
            <w:tcBorders>
              <w:top w:val="single" w:color="888888" w:sz="1"/>
              <w:left w:val="single" w:color="888888" w:sz="1"/>
              <w:bottom w:val="single" w:color="888888" w:sz="1"/>
              <w:right w:val="single" w:color="888888" w:sz="1"/>
            </w:tcBorders>
            <w:shd w:fill="C5DCF0" w:val="clear"/>
            <w:tcMar>
              <w:top w:type="dxa" w:w="60"/>
              <w:left w:type="dxa" w:w="120"/>
              <w:bottom w:type="dxa" w:w="60"/>
              <w:right w:type="dxa" w:w="120"/>
            </w:tcMar>
          </w:tcPr>
          <w:p>
            <w:pPr>
              <w:jc w:val="center"/>
            </w:pPr>
            <w:r>
              <w:rPr>
                <w:rFonts w:ascii="SimHei" w:cs="SimHei" w:eastAsia="SimHei" w:hAnsi="SimHei"/>
                <w:b/>
                <w:bCs/>
                <w:sz w:val="21"/>
                <w:szCs w:val="21"/>
              </w:rPr>
              <w:t xml:space="preserve">指标</w:t>
            </w:r>
          </w:p>
        </w:tc>
        <w:tc>
          <w:tcPr>
            <w:tcW w:type="dxa" w:w="1020"/>
            <w:tcBorders>
              <w:top w:val="single" w:color="888888" w:sz="1"/>
              <w:left w:val="single" w:color="888888" w:sz="1"/>
              <w:bottom w:val="single" w:color="888888" w:sz="1"/>
              <w:right w:val="single" w:color="888888" w:sz="1"/>
            </w:tcBorders>
            <w:shd w:fill="C5DCF0" w:val="clear"/>
            <w:tcMar>
              <w:top w:type="dxa" w:w="60"/>
              <w:left w:type="dxa" w:w="120"/>
              <w:bottom w:type="dxa" w:w="60"/>
              <w:right w:type="dxa" w:w="120"/>
            </w:tcMar>
          </w:tcPr>
          <w:p>
            <w:pPr>
              <w:jc w:val="center"/>
            </w:pPr>
            <w:r>
              <w:rPr>
                <w:rFonts w:ascii="SimHei" w:cs="SimHei" w:eastAsia="SimHei" w:hAnsi="SimHei"/>
                <w:b/>
                <w:bCs/>
                <w:sz w:val="21"/>
                <w:szCs w:val="21"/>
              </w:rPr>
              <w:t xml:space="preserve">2020</w:t>
            </w:r>
          </w:p>
        </w:tc>
        <w:tc>
          <w:tcPr>
            <w:tcW w:type="dxa" w:w="1020"/>
            <w:tcBorders>
              <w:top w:val="single" w:color="888888" w:sz="1"/>
              <w:left w:val="single" w:color="888888" w:sz="1"/>
              <w:bottom w:val="single" w:color="888888" w:sz="1"/>
              <w:right w:val="single" w:color="888888" w:sz="1"/>
            </w:tcBorders>
            <w:shd w:fill="C5DCF0" w:val="clear"/>
            <w:tcMar>
              <w:top w:type="dxa" w:w="60"/>
              <w:left w:type="dxa" w:w="120"/>
              <w:bottom w:type="dxa" w:w="60"/>
              <w:right w:type="dxa" w:w="120"/>
            </w:tcMar>
          </w:tcPr>
          <w:p>
            <w:pPr>
              <w:jc w:val="center"/>
            </w:pPr>
            <w:r>
              <w:rPr>
                <w:rFonts w:ascii="SimHei" w:cs="SimHei" w:eastAsia="SimHei" w:hAnsi="SimHei"/>
                <w:b/>
                <w:bCs/>
                <w:sz w:val="21"/>
                <w:szCs w:val="21"/>
              </w:rPr>
              <w:t xml:space="preserve">2021</w:t>
            </w:r>
          </w:p>
        </w:tc>
        <w:tc>
          <w:tcPr>
            <w:tcW w:type="dxa" w:w="1020"/>
            <w:tcBorders>
              <w:top w:val="single" w:color="888888" w:sz="1"/>
              <w:left w:val="single" w:color="888888" w:sz="1"/>
              <w:bottom w:val="single" w:color="888888" w:sz="1"/>
              <w:right w:val="single" w:color="888888" w:sz="1"/>
            </w:tcBorders>
            <w:shd w:fill="C5DCF0" w:val="clear"/>
            <w:tcMar>
              <w:top w:type="dxa" w:w="60"/>
              <w:left w:type="dxa" w:w="120"/>
              <w:bottom w:type="dxa" w:w="60"/>
              <w:right w:type="dxa" w:w="120"/>
            </w:tcMar>
          </w:tcPr>
          <w:p>
            <w:pPr>
              <w:jc w:val="center"/>
            </w:pPr>
            <w:r>
              <w:rPr>
                <w:rFonts w:ascii="SimHei" w:cs="SimHei" w:eastAsia="SimHei" w:hAnsi="SimHei"/>
                <w:b/>
                <w:bCs/>
                <w:sz w:val="21"/>
                <w:szCs w:val="21"/>
              </w:rPr>
              <w:t xml:space="preserve">2022</w:t>
            </w:r>
          </w:p>
        </w:tc>
        <w:tc>
          <w:tcPr>
            <w:tcW w:type="dxa" w:w="1010"/>
            <w:tcBorders>
              <w:top w:val="single" w:color="888888" w:sz="1"/>
              <w:left w:val="single" w:color="888888" w:sz="1"/>
              <w:bottom w:val="single" w:color="888888" w:sz="1"/>
              <w:right w:val="single" w:color="888888" w:sz="1"/>
            </w:tcBorders>
            <w:shd w:fill="C5DCF0" w:val="clear"/>
            <w:tcMar>
              <w:top w:type="dxa" w:w="60"/>
              <w:left w:type="dxa" w:w="120"/>
              <w:bottom w:type="dxa" w:w="60"/>
              <w:right w:type="dxa" w:w="120"/>
            </w:tcMar>
          </w:tcPr>
          <w:p>
            <w:pPr>
              <w:jc w:val="center"/>
            </w:pPr>
            <w:r>
              <w:rPr>
                <w:rFonts w:ascii="SimHei" w:cs="SimHei" w:eastAsia="SimHei" w:hAnsi="SimHei"/>
                <w:b/>
                <w:bCs/>
                <w:sz w:val="21"/>
                <w:szCs w:val="21"/>
              </w:rPr>
              <w:t xml:space="preserve">2023</w:t>
            </w:r>
          </w:p>
        </w:tc>
        <w:tc>
          <w:tcPr>
            <w:tcW w:type="dxa" w:w="1030"/>
            <w:tcBorders>
              <w:top w:val="single" w:color="888888" w:sz="1"/>
              <w:left w:val="single" w:color="888888" w:sz="1"/>
              <w:bottom w:val="single" w:color="888888" w:sz="1"/>
              <w:right w:val="single" w:color="888888" w:sz="1"/>
            </w:tcBorders>
            <w:shd w:fill="C5DCF0" w:val="clear"/>
            <w:tcMar>
              <w:top w:type="dxa" w:w="60"/>
              <w:left w:type="dxa" w:w="120"/>
              <w:bottom w:type="dxa" w:w="60"/>
              <w:right w:type="dxa" w:w="120"/>
            </w:tcMar>
          </w:tcPr>
          <w:p>
            <w:pPr>
              <w:jc w:val="center"/>
            </w:pPr>
            <w:r>
              <w:rPr>
                <w:rFonts w:ascii="SimHei" w:cs="SimHei" w:eastAsia="SimHei" w:hAnsi="SimHei"/>
                <w:b/>
                <w:bCs/>
                <w:sz w:val="21"/>
                <w:szCs w:val="21"/>
              </w:rPr>
              <w:t xml:space="preserve">2024</w:t>
            </w:r>
          </w:p>
        </w:tc>
      </w:tr>
      <w:tr>
        <w:tc>
          <w:tcPr>
            <w:tcW w:type="dxa" w:w="21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left"/>
            </w:pPr>
            <w:r>
              <w:rPr>
                <w:rFonts w:ascii="SimSun" w:cs="SimSun" w:eastAsia="SimSun" w:hAnsi="SimSun"/>
                <w:sz w:val="20"/>
                <w:szCs w:val="20"/>
              </w:rPr>
              <w:t xml:space="preserve">总资产（亿元）</w:t>
            </w:r>
          </w:p>
        </w:tc>
        <w:tc>
          <w:tcPr>
            <w:tcW w:type="dxa" w:w="102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1,809</w:t>
            </w:r>
          </w:p>
        </w:tc>
        <w:tc>
          <w:tcPr>
            <w:tcW w:type="dxa" w:w="102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2,024</w:t>
            </w:r>
          </w:p>
        </w:tc>
        <w:tc>
          <w:tcPr>
            <w:tcW w:type="dxa" w:w="102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2,224</w:t>
            </w:r>
          </w:p>
        </w:tc>
        <w:tc>
          <w:tcPr>
            <w:tcW w:type="dxa" w:w="101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2,309</w:t>
            </w:r>
          </w:p>
        </w:tc>
        <w:tc>
          <w:tcPr>
            <w:tcW w:type="dxa" w:w="103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2,492</w:t>
            </w:r>
          </w:p>
        </w:tc>
      </w:tr>
      <w:tr>
        <w:tc>
          <w:tcPr>
            <w:tcW w:type="dxa" w:w="21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left"/>
            </w:pPr>
            <w:r>
              <w:rPr>
                <w:rFonts w:ascii="SimSun" w:cs="SimSun" w:eastAsia="SimSun" w:hAnsi="SimSun"/>
                <w:sz w:val="20"/>
                <w:szCs w:val="20"/>
              </w:rPr>
              <w:t xml:space="preserve">贷款余额（亿元）</w:t>
            </w:r>
          </w:p>
        </w:tc>
        <w:tc>
          <w:tcPr>
            <w:tcW w:type="dxa" w:w="102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760</w:t>
            </w:r>
          </w:p>
        </w:tc>
        <w:tc>
          <w:tcPr>
            <w:tcW w:type="dxa" w:w="102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969</w:t>
            </w:r>
          </w:p>
        </w:tc>
        <w:tc>
          <w:tcPr>
            <w:tcW w:type="dxa" w:w="102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1,185</w:t>
            </w:r>
          </w:p>
        </w:tc>
        <w:tc>
          <w:tcPr>
            <w:tcW w:type="dxa" w:w="101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1,252</w:t>
            </w:r>
          </w:p>
        </w:tc>
        <w:tc>
          <w:tcPr>
            <w:tcW w:type="dxa" w:w="103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1,385</w:t>
            </w:r>
          </w:p>
        </w:tc>
      </w:tr>
      <w:tr>
        <w:tc>
          <w:tcPr>
            <w:tcW w:type="dxa" w:w="21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left"/>
            </w:pPr>
            <w:r>
              <w:rPr>
                <w:rFonts w:ascii="SimSun" w:cs="SimSun" w:eastAsia="SimSun" w:hAnsi="SimSun"/>
                <w:sz w:val="20"/>
                <w:szCs w:val="20"/>
              </w:rPr>
              <w:t xml:space="preserve">净利润（亿元）</w:t>
            </w:r>
          </w:p>
        </w:tc>
        <w:tc>
          <w:tcPr>
            <w:tcW w:type="dxa" w:w="102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8.47</w:t>
            </w:r>
          </w:p>
        </w:tc>
        <w:tc>
          <w:tcPr>
            <w:tcW w:type="dxa" w:w="102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10.10</w:t>
            </w:r>
          </w:p>
        </w:tc>
        <w:tc>
          <w:tcPr>
            <w:tcW w:type="dxa" w:w="102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14.97</w:t>
            </w:r>
          </w:p>
        </w:tc>
        <w:tc>
          <w:tcPr>
            <w:tcW w:type="dxa" w:w="101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6.21</w:t>
            </w:r>
          </w:p>
        </w:tc>
        <w:tc>
          <w:tcPr>
            <w:tcW w:type="dxa" w:w="103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8.01</w:t>
            </w:r>
          </w:p>
        </w:tc>
      </w:tr>
      <w:tr>
        <w:tc>
          <w:tcPr>
            <w:tcW w:type="dxa" w:w="21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left"/>
            </w:pPr>
            <w:r>
              <w:rPr>
                <w:rFonts w:ascii="SimSun" w:cs="SimSun" w:eastAsia="SimSun" w:hAnsi="SimSun"/>
                <w:sz w:val="20"/>
                <w:szCs w:val="20"/>
              </w:rPr>
              <w:t xml:space="preserve">不良贷款率（%）</w:t>
            </w:r>
          </w:p>
        </w:tc>
        <w:tc>
          <w:tcPr>
            <w:tcW w:type="dxa" w:w="102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1.90</w:t>
            </w:r>
          </w:p>
        </w:tc>
        <w:tc>
          <w:tcPr>
            <w:tcW w:type="dxa" w:w="102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1.96</w:t>
            </w:r>
          </w:p>
        </w:tc>
        <w:tc>
          <w:tcPr>
            <w:tcW w:type="dxa" w:w="102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1.90</w:t>
            </w:r>
          </w:p>
        </w:tc>
        <w:tc>
          <w:tcPr>
            <w:tcW w:type="dxa" w:w="101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2.24</w:t>
            </w:r>
          </w:p>
        </w:tc>
        <w:tc>
          <w:tcPr>
            <w:tcW w:type="dxa" w:w="103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1.38</w:t>
            </w:r>
          </w:p>
        </w:tc>
      </w:tr>
      <w:tr>
        <w:tc>
          <w:tcPr>
            <w:tcW w:type="dxa" w:w="21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left"/>
            </w:pPr>
            <w:r>
              <w:rPr>
                <w:rFonts w:ascii="SimSun" w:cs="SimSun" w:eastAsia="SimSun" w:hAnsi="SimSun"/>
                <w:sz w:val="20"/>
                <w:szCs w:val="20"/>
              </w:rPr>
              <w:t xml:space="preserve">关注类贷款占比（%）</w:t>
            </w:r>
          </w:p>
        </w:tc>
        <w:tc>
          <w:tcPr>
            <w:tcW w:type="dxa" w:w="102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3.54</w:t>
            </w:r>
          </w:p>
        </w:tc>
        <w:tc>
          <w:tcPr>
            <w:tcW w:type="dxa" w:w="102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4.60</w:t>
            </w:r>
          </w:p>
        </w:tc>
        <w:tc>
          <w:tcPr>
            <w:tcW w:type="dxa" w:w="102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8.04</w:t>
            </w:r>
          </w:p>
        </w:tc>
        <w:tc>
          <w:tcPr>
            <w:tcW w:type="dxa" w:w="101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10.07</w:t>
            </w:r>
          </w:p>
        </w:tc>
        <w:tc>
          <w:tcPr>
            <w:tcW w:type="dxa" w:w="103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8.90</w:t>
            </w:r>
          </w:p>
        </w:tc>
      </w:tr>
      <w:tr>
        <w:tc>
          <w:tcPr>
            <w:tcW w:type="dxa" w:w="21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left"/>
            </w:pPr>
            <w:r>
              <w:rPr>
                <w:rFonts w:ascii="SimSun" w:cs="SimSun" w:eastAsia="SimSun" w:hAnsi="SimSun"/>
                <w:sz w:val="20"/>
                <w:szCs w:val="20"/>
              </w:rPr>
              <w:t xml:space="preserve">拨备覆盖率（%）</w:t>
            </w:r>
          </w:p>
        </w:tc>
        <w:tc>
          <w:tcPr>
            <w:tcW w:type="dxa" w:w="102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175.63</w:t>
            </w:r>
          </w:p>
        </w:tc>
        <w:tc>
          <w:tcPr>
            <w:tcW w:type="dxa" w:w="102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182.26</w:t>
            </w:r>
          </w:p>
        </w:tc>
        <w:tc>
          <w:tcPr>
            <w:tcW w:type="dxa" w:w="102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154.73</w:t>
            </w:r>
          </w:p>
        </w:tc>
        <w:tc>
          <w:tcPr>
            <w:tcW w:type="dxa" w:w="101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136.84</w:t>
            </w:r>
          </w:p>
        </w:tc>
        <w:tc>
          <w:tcPr>
            <w:tcW w:type="dxa" w:w="103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204.35</w:t>
            </w:r>
          </w:p>
        </w:tc>
      </w:tr>
      <w:tr>
        <w:tc>
          <w:tcPr>
            <w:tcW w:type="dxa" w:w="21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left"/>
            </w:pPr>
            <w:r>
              <w:rPr>
                <w:rFonts w:ascii="SimSun" w:cs="SimSun" w:eastAsia="SimSun" w:hAnsi="SimSun"/>
                <w:sz w:val="20"/>
                <w:szCs w:val="20"/>
              </w:rPr>
              <w:t xml:space="preserve">拨贷比（%）</w:t>
            </w:r>
          </w:p>
        </w:tc>
        <w:tc>
          <w:tcPr>
            <w:tcW w:type="dxa" w:w="102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3.34</w:t>
            </w:r>
          </w:p>
        </w:tc>
        <w:tc>
          <w:tcPr>
            <w:tcW w:type="dxa" w:w="102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3.57</w:t>
            </w:r>
          </w:p>
        </w:tc>
        <w:tc>
          <w:tcPr>
            <w:tcW w:type="dxa" w:w="102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2.95</w:t>
            </w:r>
          </w:p>
        </w:tc>
        <w:tc>
          <w:tcPr>
            <w:tcW w:type="dxa" w:w="101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3.06</w:t>
            </w:r>
          </w:p>
        </w:tc>
        <w:tc>
          <w:tcPr>
            <w:tcW w:type="dxa" w:w="103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2.82</w:t>
            </w:r>
          </w:p>
        </w:tc>
      </w:tr>
      <w:tr>
        <w:tc>
          <w:tcPr>
            <w:tcW w:type="dxa" w:w="21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left"/>
            </w:pPr>
            <w:r>
              <w:rPr>
                <w:rFonts w:ascii="SimSun" w:cs="SimSun" w:eastAsia="SimSun" w:hAnsi="SimSun"/>
                <w:sz w:val="20"/>
                <w:szCs w:val="20"/>
              </w:rPr>
              <w:t xml:space="preserve">核心一级资本充足率（%）</w:t>
            </w:r>
          </w:p>
        </w:tc>
        <w:tc>
          <w:tcPr>
            <w:tcW w:type="dxa" w:w="102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8.64</w:t>
            </w:r>
          </w:p>
        </w:tc>
        <w:tc>
          <w:tcPr>
            <w:tcW w:type="dxa" w:w="102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9.33</w:t>
            </w:r>
          </w:p>
        </w:tc>
        <w:tc>
          <w:tcPr>
            <w:tcW w:type="dxa" w:w="102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9.67</w:t>
            </w:r>
          </w:p>
        </w:tc>
        <w:tc>
          <w:tcPr>
            <w:tcW w:type="dxa" w:w="101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9.92</w:t>
            </w:r>
          </w:p>
        </w:tc>
        <w:tc>
          <w:tcPr>
            <w:tcW w:type="dxa" w:w="103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10.65</w:t>
            </w:r>
          </w:p>
        </w:tc>
      </w:tr>
      <w:tr>
        <w:tc>
          <w:tcPr>
            <w:tcW w:type="dxa" w:w="21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left"/>
            </w:pPr>
            <w:r>
              <w:rPr>
                <w:rFonts w:ascii="SimSun" w:cs="SimSun" w:eastAsia="SimSun" w:hAnsi="SimSun"/>
                <w:sz w:val="20"/>
                <w:szCs w:val="20"/>
              </w:rPr>
              <w:t xml:space="preserve">总资本充足率（%）</w:t>
            </w:r>
          </w:p>
        </w:tc>
        <w:tc>
          <w:tcPr>
            <w:tcW w:type="dxa" w:w="102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11.22</w:t>
            </w:r>
          </w:p>
        </w:tc>
        <w:tc>
          <w:tcPr>
            <w:tcW w:type="dxa" w:w="102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13.15</w:t>
            </w:r>
          </w:p>
        </w:tc>
        <w:tc>
          <w:tcPr>
            <w:tcW w:type="dxa" w:w="102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12.91</w:t>
            </w:r>
          </w:p>
        </w:tc>
        <w:tc>
          <w:tcPr>
            <w:tcW w:type="dxa" w:w="101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13.07</w:t>
            </w:r>
          </w:p>
        </w:tc>
        <w:tc>
          <w:tcPr>
            <w:tcW w:type="dxa" w:w="103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13.88</w:t>
            </w:r>
          </w:p>
        </w:tc>
      </w:tr>
      <w:tr>
        <w:tc>
          <w:tcPr>
            <w:tcW w:type="dxa" w:w="21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left"/>
            </w:pPr>
            <w:r>
              <w:rPr>
                <w:rFonts w:ascii="SimSun" w:cs="SimSun" w:eastAsia="SimSun" w:hAnsi="SimSun"/>
                <w:sz w:val="20"/>
                <w:szCs w:val="20"/>
              </w:rPr>
              <w:t xml:space="preserve">流动性比例（%）</w:t>
            </w:r>
          </w:p>
        </w:tc>
        <w:tc>
          <w:tcPr>
            <w:tcW w:type="dxa" w:w="102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66.11</w:t>
            </w:r>
          </w:p>
        </w:tc>
        <w:tc>
          <w:tcPr>
            <w:tcW w:type="dxa" w:w="102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76.40</w:t>
            </w:r>
          </w:p>
        </w:tc>
        <w:tc>
          <w:tcPr>
            <w:tcW w:type="dxa" w:w="102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83.25</w:t>
            </w:r>
          </w:p>
        </w:tc>
        <w:tc>
          <w:tcPr>
            <w:tcW w:type="dxa" w:w="101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101.84</w:t>
            </w:r>
          </w:p>
        </w:tc>
        <w:tc>
          <w:tcPr>
            <w:tcW w:type="dxa" w:w="103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112.07</w:t>
            </w:r>
          </w:p>
        </w:tc>
      </w:tr>
    </w:tbl>
    <w:p>
      <w:pPr>
        <w:spacing w:before="60" w:after="160"/>
        <w:ind/>
        <w:jc w:val="left"/>
      </w:pPr>
      <w:r>
        <w:rPr>
          <w:rFonts w:ascii="SimSun" w:cs="SimSun" w:eastAsia="SimSun" w:hAnsi="SimSun"/>
          <w:color w:val="666666"/>
          <w:sz w:val="20"/>
          <w:szCs w:val="20"/>
        </w:rPr>
        <w:t xml:space="preserve">资料来源：邯郸银行2020—2024年年度报告，作者整理。</w:t>
      </w:r>
    </w:p>
    <w:p>
      <w:r>
        <w:br w:type="page"/>
      </w:r>
    </w:p>
    <w:p>
      <w:pPr>
        <w:pStyle w:val="Heading1"/>
        <w:spacing w:before="360" w:after="240"/>
        <w:ind/>
        <w:jc w:val="center"/>
      </w:pPr>
      <w:r>
        <w:rPr>
          <w:rFonts w:ascii="SimHei" w:cs="SimHei" w:eastAsia="SimHei" w:hAnsi="SimHei"/>
          <w:b/>
          <w:bCs/>
          <w:sz w:val="30"/>
          <w:szCs w:val="30"/>
        </w:rPr>
        <w:t xml:space="preserve">四、邯郸银行信用风险管理存在的问题</w:t>
      </w:r>
    </w:p>
    <w:p>
      <w:pPr>
        <w:pStyle w:val="Heading2"/>
        <w:spacing w:before="240" w:after="120"/>
        <w:ind/>
      </w:pPr>
      <w:r>
        <w:rPr>
          <w:rFonts w:ascii="SimHei" w:cs="SimHei" w:eastAsia="SimHei" w:hAnsi="SimHei"/>
          <w:b/>
          <w:bCs/>
          <w:sz w:val="26"/>
          <w:szCs w:val="26"/>
        </w:rPr>
        <w:t xml:space="preserve">（一）信用风险管理体系与业务特点不匹配</w:t>
      </w:r>
    </w:p>
    <w:p>
      <w:pPr>
        <w:spacing w:line="480" w:before="0" w:after="100"/>
        <w:ind w:firstLine="480"/>
        <w:jc w:val="both"/>
      </w:pPr>
      <w:r>
        <w:rPr>
          <w:rFonts w:ascii="SimSun" w:cs="SimSun" w:eastAsia="SimSun" w:hAnsi="SimSun"/>
          <w:b w:val="false"/>
          <w:bCs w:val="false"/>
          <w:sz w:val="24"/>
          <w:szCs w:val="24"/>
        </w:rPr>
        <w:t xml:space="preserve">邯郸银行信贷资产结构高度集中，与其所服务区域的产业结构高度重叠，但现有风险管理体系在行业集中度控制和客户结构优化方面存在明显不足。</w:t>
      </w:r>
    </w:p>
    <w:p>
      <w:pPr>
        <w:spacing w:before="0" w:after="0"/>
      </w:pPr>
      <w:r>
        <w:t xml:space="preserve"/>
      </w:r>
    </w:p>
    <w:p>
      <w:pPr>
        <w:spacing w:before="160" w:after="80"/>
        <w:ind/>
        <w:jc w:val="center"/>
      </w:pPr>
      <w:r>
        <w:rPr>
          <w:rFonts w:ascii="SimHei" w:cs="SimHei" w:eastAsia="SimHei" w:hAnsi="SimHei"/>
          <w:b/>
          <w:bCs/>
          <w:sz w:val="22"/>
          <w:szCs w:val="22"/>
        </w:rPr>
        <w:t xml:space="preserve">表2  邯郸银行2020—2024年贷款行业集中度变化（%）</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1040"/>
        <w:gridCol w:w="1040"/>
        <w:gridCol w:w="1040"/>
        <w:gridCol w:w="1040"/>
        <w:gridCol w:w="1040"/>
      </w:tblGrid>
      <w:tr>
        <w:trPr>
          <w:tblHeader/>
        </w:trPr>
        <w:tc>
          <w:tcPr>
            <w:tcW w:type="dxa" w:w="2000"/>
            <w:tcBorders>
              <w:top w:val="single" w:color="888888" w:sz="1"/>
              <w:left w:val="single" w:color="888888" w:sz="1"/>
              <w:bottom w:val="single" w:color="888888" w:sz="1"/>
              <w:right w:val="single" w:color="888888" w:sz="1"/>
            </w:tcBorders>
            <w:shd w:fill="C5DCF0" w:val="clear"/>
            <w:tcMar>
              <w:top w:type="dxa" w:w="60"/>
              <w:left w:type="dxa" w:w="120"/>
              <w:bottom w:type="dxa" w:w="60"/>
              <w:right w:type="dxa" w:w="120"/>
            </w:tcMar>
          </w:tcPr>
          <w:p>
            <w:pPr>
              <w:jc w:val="center"/>
            </w:pPr>
            <w:r>
              <w:rPr>
                <w:rFonts w:ascii="SimHei" w:cs="SimHei" w:eastAsia="SimHei" w:hAnsi="SimHei"/>
                <w:b/>
                <w:bCs/>
                <w:sz w:val="21"/>
                <w:szCs w:val="21"/>
              </w:rPr>
              <w:t xml:space="preserve">行业</w:t>
            </w:r>
          </w:p>
        </w:tc>
        <w:tc>
          <w:tcPr>
            <w:tcW w:type="dxa" w:w="1040"/>
            <w:tcBorders>
              <w:top w:val="single" w:color="888888" w:sz="1"/>
              <w:left w:val="single" w:color="888888" w:sz="1"/>
              <w:bottom w:val="single" w:color="888888" w:sz="1"/>
              <w:right w:val="single" w:color="888888" w:sz="1"/>
            </w:tcBorders>
            <w:shd w:fill="C5DCF0" w:val="clear"/>
            <w:tcMar>
              <w:top w:type="dxa" w:w="60"/>
              <w:left w:type="dxa" w:w="120"/>
              <w:bottom w:type="dxa" w:w="60"/>
              <w:right w:type="dxa" w:w="120"/>
            </w:tcMar>
          </w:tcPr>
          <w:p>
            <w:pPr>
              <w:jc w:val="center"/>
            </w:pPr>
            <w:r>
              <w:rPr>
                <w:rFonts w:ascii="SimHei" w:cs="SimHei" w:eastAsia="SimHei" w:hAnsi="SimHei"/>
                <w:b/>
                <w:bCs/>
                <w:sz w:val="21"/>
                <w:szCs w:val="21"/>
              </w:rPr>
              <w:t xml:space="preserve">2020</w:t>
            </w:r>
          </w:p>
        </w:tc>
        <w:tc>
          <w:tcPr>
            <w:tcW w:type="dxa" w:w="1040"/>
            <w:tcBorders>
              <w:top w:val="single" w:color="888888" w:sz="1"/>
              <w:left w:val="single" w:color="888888" w:sz="1"/>
              <w:bottom w:val="single" w:color="888888" w:sz="1"/>
              <w:right w:val="single" w:color="888888" w:sz="1"/>
            </w:tcBorders>
            <w:shd w:fill="C5DCF0" w:val="clear"/>
            <w:tcMar>
              <w:top w:type="dxa" w:w="60"/>
              <w:left w:type="dxa" w:w="120"/>
              <w:bottom w:type="dxa" w:w="60"/>
              <w:right w:type="dxa" w:w="120"/>
            </w:tcMar>
          </w:tcPr>
          <w:p>
            <w:pPr>
              <w:jc w:val="center"/>
            </w:pPr>
            <w:r>
              <w:rPr>
                <w:rFonts w:ascii="SimHei" w:cs="SimHei" w:eastAsia="SimHei" w:hAnsi="SimHei"/>
                <w:b/>
                <w:bCs/>
                <w:sz w:val="21"/>
                <w:szCs w:val="21"/>
              </w:rPr>
              <w:t xml:space="preserve">2021</w:t>
            </w:r>
          </w:p>
        </w:tc>
        <w:tc>
          <w:tcPr>
            <w:tcW w:type="dxa" w:w="1040"/>
            <w:tcBorders>
              <w:top w:val="single" w:color="888888" w:sz="1"/>
              <w:left w:val="single" w:color="888888" w:sz="1"/>
              <w:bottom w:val="single" w:color="888888" w:sz="1"/>
              <w:right w:val="single" w:color="888888" w:sz="1"/>
            </w:tcBorders>
            <w:shd w:fill="C5DCF0" w:val="clear"/>
            <w:tcMar>
              <w:top w:type="dxa" w:w="60"/>
              <w:left w:type="dxa" w:w="120"/>
              <w:bottom w:type="dxa" w:w="60"/>
              <w:right w:type="dxa" w:w="120"/>
            </w:tcMar>
          </w:tcPr>
          <w:p>
            <w:pPr>
              <w:jc w:val="center"/>
            </w:pPr>
            <w:r>
              <w:rPr>
                <w:rFonts w:ascii="SimHei" w:cs="SimHei" w:eastAsia="SimHei" w:hAnsi="SimHei"/>
                <w:b/>
                <w:bCs/>
                <w:sz w:val="21"/>
                <w:szCs w:val="21"/>
              </w:rPr>
              <w:t xml:space="preserve">2022</w:t>
            </w:r>
          </w:p>
        </w:tc>
        <w:tc>
          <w:tcPr>
            <w:tcW w:type="dxa" w:w="1040"/>
            <w:tcBorders>
              <w:top w:val="single" w:color="888888" w:sz="1"/>
              <w:left w:val="single" w:color="888888" w:sz="1"/>
              <w:bottom w:val="single" w:color="888888" w:sz="1"/>
              <w:right w:val="single" w:color="888888" w:sz="1"/>
            </w:tcBorders>
            <w:shd w:fill="C5DCF0" w:val="clear"/>
            <w:tcMar>
              <w:top w:type="dxa" w:w="60"/>
              <w:left w:type="dxa" w:w="120"/>
              <w:bottom w:type="dxa" w:w="60"/>
              <w:right w:type="dxa" w:w="120"/>
            </w:tcMar>
          </w:tcPr>
          <w:p>
            <w:pPr>
              <w:jc w:val="center"/>
            </w:pPr>
            <w:r>
              <w:rPr>
                <w:rFonts w:ascii="SimHei" w:cs="SimHei" w:eastAsia="SimHei" w:hAnsi="SimHei"/>
                <w:b/>
                <w:bCs/>
                <w:sz w:val="21"/>
                <w:szCs w:val="21"/>
              </w:rPr>
              <w:t xml:space="preserve">2023</w:t>
            </w:r>
          </w:p>
        </w:tc>
        <w:tc>
          <w:tcPr>
            <w:tcW w:type="dxa" w:w="1040"/>
            <w:tcBorders>
              <w:top w:val="single" w:color="888888" w:sz="1"/>
              <w:left w:val="single" w:color="888888" w:sz="1"/>
              <w:bottom w:val="single" w:color="888888" w:sz="1"/>
              <w:right w:val="single" w:color="888888" w:sz="1"/>
            </w:tcBorders>
            <w:shd w:fill="C5DCF0" w:val="clear"/>
            <w:tcMar>
              <w:top w:type="dxa" w:w="60"/>
              <w:left w:type="dxa" w:w="120"/>
              <w:bottom w:type="dxa" w:w="60"/>
              <w:right w:type="dxa" w:w="120"/>
            </w:tcMar>
          </w:tcPr>
          <w:p>
            <w:pPr>
              <w:jc w:val="center"/>
            </w:pPr>
            <w:r>
              <w:rPr>
                <w:rFonts w:ascii="SimHei" w:cs="SimHei" w:eastAsia="SimHei" w:hAnsi="SimHei"/>
                <w:b/>
                <w:bCs/>
                <w:sz w:val="21"/>
                <w:szCs w:val="21"/>
              </w:rPr>
              <w:t xml:space="preserve">2024</w:t>
            </w:r>
          </w:p>
        </w:tc>
      </w:tr>
      <w:tr>
        <w:tc>
          <w:tcPr>
            <w:tcW w:type="dxa" w:w="20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left"/>
            </w:pPr>
            <w:r>
              <w:rPr>
                <w:rFonts w:ascii="SimSun" w:cs="SimSun" w:eastAsia="SimSun" w:hAnsi="SimSun"/>
                <w:sz w:val="20"/>
                <w:szCs w:val="20"/>
              </w:rPr>
              <w:t xml:space="preserve">制造业</w:t>
            </w:r>
          </w:p>
        </w:tc>
        <w:tc>
          <w:tcPr>
            <w:tcW w:type="dxa" w:w="104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28.33</w:t>
            </w:r>
          </w:p>
        </w:tc>
        <w:tc>
          <w:tcPr>
            <w:tcW w:type="dxa" w:w="104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28.50</w:t>
            </w:r>
          </w:p>
        </w:tc>
        <w:tc>
          <w:tcPr>
            <w:tcW w:type="dxa" w:w="104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24.77</w:t>
            </w:r>
          </w:p>
        </w:tc>
        <w:tc>
          <w:tcPr>
            <w:tcW w:type="dxa" w:w="104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25.24</w:t>
            </w:r>
          </w:p>
        </w:tc>
        <w:tc>
          <w:tcPr>
            <w:tcW w:type="dxa" w:w="104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25.31</w:t>
            </w:r>
          </w:p>
        </w:tc>
      </w:tr>
      <w:tr>
        <w:tc>
          <w:tcPr>
            <w:tcW w:type="dxa" w:w="20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left"/>
            </w:pPr>
            <w:r>
              <w:rPr>
                <w:rFonts w:ascii="SimSun" w:cs="SimSun" w:eastAsia="SimSun" w:hAnsi="SimSun"/>
                <w:sz w:val="20"/>
                <w:szCs w:val="20"/>
              </w:rPr>
              <w:t xml:space="preserve">批发和零售业</w:t>
            </w:r>
          </w:p>
        </w:tc>
        <w:tc>
          <w:tcPr>
            <w:tcW w:type="dxa" w:w="104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20.13</w:t>
            </w:r>
          </w:p>
        </w:tc>
        <w:tc>
          <w:tcPr>
            <w:tcW w:type="dxa" w:w="104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17.02</w:t>
            </w:r>
          </w:p>
        </w:tc>
        <w:tc>
          <w:tcPr>
            <w:tcW w:type="dxa" w:w="104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14.86</w:t>
            </w:r>
          </w:p>
        </w:tc>
        <w:tc>
          <w:tcPr>
            <w:tcW w:type="dxa" w:w="104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15.39</w:t>
            </w:r>
          </w:p>
        </w:tc>
        <w:tc>
          <w:tcPr>
            <w:tcW w:type="dxa" w:w="104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12.45</w:t>
            </w:r>
          </w:p>
        </w:tc>
      </w:tr>
      <w:tr>
        <w:tc>
          <w:tcPr>
            <w:tcW w:type="dxa" w:w="20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left"/>
            </w:pPr>
            <w:r>
              <w:rPr>
                <w:rFonts w:ascii="SimSun" w:cs="SimSun" w:eastAsia="SimSun" w:hAnsi="SimSun"/>
                <w:sz w:val="20"/>
                <w:szCs w:val="20"/>
              </w:rPr>
              <w:t xml:space="preserve">建筑业</w:t>
            </w:r>
          </w:p>
        </w:tc>
        <w:tc>
          <w:tcPr>
            <w:tcW w:type="dxa" w:w="104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4.67</w:t>
            </w:r>
          </w:p>
        </w:tc>
        <w:tc>
          <w:tcPr>
            <w:tcW w:type="dxa" w:w="104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6.15</w:t>
            </w:r>
          </w:p>
        </w:tc>
        <w:tc>
          <w:tcPr>
            <w:tcW w:type="dxa" w:w="104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7.44</w:t>
            </w:r>
          </w:p>
        </w:tc>
        <w:tc>
          <w:tcPr>
            <w:tcW w:type="dxa" w:w="104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9.17</w:t>
            </w:r>
          </w:p>
        </w:tc>
        <w:tc>
          <w:tcPr>
            <w:tcW w:type="dxa" w:w="104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9.73</w:t>
            </w:r>
          </w:p>
        </w:tc>
      </w:tr>
      <w:tr>
        <w:tc>
          <w:tcPr>
            <w:tcW w:type="dxa" w:w="20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left"/>
            </w:pPr>
            <w:r>
              <w:rPr>
                <w:rFonts w:ascii="SimSun" w:cs="SimSun" w:eastAsia="SimSun" w:hAnsi="SimSun"/>
                <w:sz w:val="20"/>
                <w:szCs w:val="20"/>
              </w:rPr>
              <w:t xml:space="preserve">房地产业</w:t>
            </w:r>
          </w:p>
        </w:tc>
        <w:tc>
          <w:tcPr>
            <w:tcW w:type="dxa" w:w="104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7.03</w:t>
            </w:r>
          </w:p>
        </w:tc>
        <w:tc>
          <w:tcPr>
            <w:tcW w:type="dxa" w:w="104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5.57</w:t>
            </w:r>
          </w:p>
        </w:tc>
        <w:tc>
          <w:tcPr>
            <w:tcW w:type="dxa" w:w="104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5.17</w:t>
            </w:r>
          </w:p>
        </w:tc>
        <w:tc>
          <w:tcPr>
            <w:tcW w:type="dxa" w:w="104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4.13</w:t>
            </w:r>
          </w:p>
        </w:tc>
        <w:tc>
          <w:tcPr>
            <w:tcW w:type="dxa" w:w="104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3.59</w:t>
            </w:r>
          </w:p>
        </w:tc>
      </w:tr>
      <w:tr>
        <w:tc>
          <w:tcPr>
            <w:tcW w:type="dxa" w:w="20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left"/>
            </w:pPr>
            <w:r>
              <w:rPr>
                <w:rFonts w:ascii="SimSun" w:cs="SimSun" w:eastAsia="SimSun" w:hAnsi="SimSun"/>
                <w:sz w:val="20"/>
                <w:szCs w:val="20"/>
              </w:rPr>
              <w:t xml:space="preserve">前十行业合计</w:t>
            </w:r>
          </w:p>
        </w:tc>
        <w:tc>
          <w:tcPr>
            <w:tcW w:type="dxa" w:w="104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78.65</w:t>
            </w:r>
          </w:p>
        </w:tc>
        <w:tc>
          <w:tcPr>
            <w:tcW w:type="dxa" w:w="104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80.07</w:t>
            </w:r>
          </w:p>
        </w:tc>
        <w:tc>
          <w:tcPr>
            <w:tcW w:type="dxa" w:w="104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75.95</w:t>
            </w:r>
          </w:p>
        </w:tc>
        <w:tc>
          <w:tcPr>
            <w:tcW w:type="dxa" w:w="104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75.48</w:t>
            </w:r>
          </w:p>
        </w:tc>
        <w:tc>
          <w:tcPr>
            <w:tcW w:type="dxa" w:w="104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72.01</w:t>
            </w:r>
          </w:p>
        </w:tc>
      </w:tr>
    </w:tbl>
    <w:p>
      <w:pPr>
        <w:spacing w:before="60" w:after="160"/>
        <w:ind/>
        <w:jc w:val="left"/>
      </w:pPr>
      <w:r>
        <w:rPr>
          <w:rFonts w:ascii="SimSun" w:cs="SimSun" w:eastAsia="SimSun" w:hAnsi="SimSun"/>
          <w:color w:val="666666"/>
          <w:sz w:val="20"/>
          <w:szCs w:val="20"/>
        </w:rPr>
        <w:t xml:space="preserve">资料来源：邯郸银行2020—2024年年度报告，作者整理。</w:t>
      </w:r>
    </w:p>
    <w:p>
      <w:pPr>
        <w:spacing w:before="0" w:after="0"/>
      </w:pPr>
      <w:r>
        <w:t xml:space="preserve"/>
      </w:r>
    </w:p>
    <w:p>
      <w:pPr>
        <w:spacing w:line="480" w:before="0" w:after="100"/>
        <w:ind w:firstLine="480"/>
        <w:jc w:val="both"/>
      </w:pPr>
      <w:r>
        <w:rPr>
          <w:rFonts w:ascii="SimSun" w:cs="SimSun" w:eastAsia="SimSun" w:hAnsi="SimSun"/>
          <w:b w:val="false"/>
          <w:bCs w:val="false"/>
          <w:sz w:val="24"/>
          <w:szCs w:val="24"/>
        </w:rPr>
        <w:t xml:space="preserve">由表2可见，制造业贷款长期高占25%—29%，批发零售业12%—20%，两者合计持续超过40%，高度集中。尤其值得警惕的是，建筑业贷款占比从2020年的4.67%持续攀升至2024年的9.73%，与房地产深度调整形成叠加，实质上是房地产下游风险的隐性积累。尽管房地产直接占比从7.03%压降至3.59%，但建筑业的快速扩张抵消了部分压降效果。</w:t>
      </w:r>
    </w:p>
    <w:p>
      <w:pPr>
        <w:spacing w:line="480" w:before="0" w:after="100"/>
        <w:ind w:firstLine="480"/>
        <w:jc w:val="both"/>
      </w:pPr>
      <w:r>
        <w:rPr>
          <w:rFonts w:ascii="SimSun" w:cs="SimSun" w:eastAsia="SimSun" w:hAnsi="SimSun"/>
          <w:b w:val="false"/>
          <w:bCs w:val="false"/>
          <w:sz w:val="24"/>
          <w:szCs w:val="24"/>
        </w:rPr>
        <w:t xml:space="preserve">从信息不对称理论看，城商行高度依赖特定行业的关系型贷款，使得信息搜集渠道窄化，难以及时获取行业性风险信号。一旦特定行业出现系统性冲击，整个信贷组合将面临集体恶化风险。</w:t>
      </w:r>
    </w:p>
    <w:p>
      <w:pPr>
        <w:pStyle w:val="Heading2"/>
        <w:spacing w:before="240" w:after="120"/>
        <w:ind/>
      </w:pPr>
      <w:r>
        <w:rPr>
          <w:rFonts w:ascii="SimHei" w:cs="SimHei" w:eastAsia="SimHei" w:hAnsi="SimHei"/>
          <w:b/>
          <w:bCs/>
          <w:sz w:val="26"/>
          <w:szCs w:val="26"/>
        </w:rPr>
        <w:t xml:space="preserve">（二）风险识别技术体系落后</w:t>
      </w:r>
    </w:p>
    <w:p>
      <w:pPr>
        <w:spacing w:line="480" w:before="0" w:after="100"/>
        <w:ind w:firstLine="480"/>
        <w:jc w:val="both"/>
      </w:pPr>
      <w:r>
        <w:rPr>
          <w:rFonts w:ascii="SimSun" w:cs="SimSun" w:eastAsia="SimSun" w:hAnsi="SimSun"/>
          <w:b w:val="false"/>
          <w:bCs w:val="false"/>
          <w:sz w:val="24"/>
          <w:szCs w:val="24"/>
        </w:rPr>
        <w:t xml:space="preserve">与大型银行相比，邯郸银行在信用风险量化识别技术方面存在明显差距，具体体现在以下几个维度：</w:t>
      </w:r>
    </w:p>
    <w:p>
      <w:pPr>
        <w:spacing w:before="0" w:after="0"/>
      </w:pPr>
      <w:r>
        <w:t xml:space="preserve"/>
      </w:r>
    </w:p>
    <w:p>
      <w:pPr>
        <w:spacing w:before="80" w:after="40"/>
        <w:ind/>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238500"/>
                    </a:xfrm>
                    <a:prstGeom prst="rect">
                      <a:avLst/>
                    </a:prstGeom>
                  </pic:spPr>
                </pic:pic>
              </a:graphicData>
            </a:graphic>
          </wp:inline>
        </w:drawing>
      </w:r>
    </w:p>
    <w:p>
      <w:pPr>
        <w:spacing w:before="60" w:after="160"/>
        <w:ind/>
        <w:jc w:val="center"/>
      </w:pPr>
      <w:r>
        <w:rPr>
          <w:rFonts w:ascii="SimHei" w:cs="SimHei" w:eastAsia="SimHei" w:hAnsi="SimHei"/>
          <w:b/>
          <w:bCs/>
          <w:color w:val="2E4057"/>
          <w:sz w:val="21"/>
          <w:szCs w:val="21"/>
        </w:rPr>
        <w:t xml:space="preserve">图4  邯郸银行2020—2024年贷款五级分类结构变化</w:t>
      </w:r>
    </w:p>
    <w:p>
      <w:pPr>
        <w:spacing w:before="0" w:after="160"/>
        <w:ind/>
        <w:jc w:val="left"/>
      </w:pPr>
      <w:r>
        <w:rPr>
          <w:rFonts w:ascii="SimSun" w:cs="SimSun" w:eastAsia="SimSun" w:hAnsi="SimSun"/>
          <w:color w:val="666666"/>
          <w:sz w:val="20"/>
          <w:szCs w:val="20"/>
        </w:rPr>
        <w:t xml:space="preserve">数据来源：邯郸银行2020—2024年年度报告，作者绘制。注：柱中数值为关注类占比。</w:t>
      </w:r>
    </w:p>
    <w:p>
      <w:pPr>
        <w:spacing w:before="0" w:after="0"/>
      </w:pPr>
      <w:r>
        <w:t xml:space="preserve"/>
      </w:r>
    </w:p>
    <w:p>
      <w:pPr>
        <w:spacing w:before="80" w:after="40"/>
        <w:ind/>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048000"/>
                    </a:xfrm>
                    <a:prstGeom prst="rect">
                      <a:avLst/>
                    </a:prstGeom>
                  </pic:spPr>
                </pic:pic>
              </a:graphicData>
            </a:graphic>
          </wp:inline>
        </w:drawing>
      </w:r>
    </w:p>
    <w:p>
      <w:pPr>
        <w:spacing w:before="60" w:after="160"/>
        <w:ind/>
        <w:jc w:val="center"/>
      </w:pPr>
      <w:r>
        <w:rPr>
          <w:rFonts w:ascii="SimHei" w:cs="SimHei" w:eastAsia="SimHei" w:hAnsi="SimHei"/>
          <w:b/>
          <w:bCs/>
          <w:color w:val="2E4057"/>
          <w:sz w:val="21"/>
          <w:szCs w:val="21"/>
        </w:rPr>
        <w:t xml:space="preserve">图7  邯郸银行2020—2024年关注类贷款占比变化（潜在风险预警）</w:t>
      </w:r>
    </w:p>
    <w:p>
      <w:pPr>
        <w:spacing w:before="0" w:after="160"/>
        <w:ind/>
        <w:jc w:val="left"/>
      </w:pPr>
      <w:r>
        <w:rPr>
          <w:rFonts w:ascii="SimSun" w:cs="SimSun" w:eastAsia="SimSun" w:hAnsi="SimSun"/>
          <w:color w:val="666666"/>
          <w:sz w:val="20"/>
          <w:szCs w:val="20"/>
        </w:rPr>
        <w:t xml:space="preserve">数据来源：邯郸银行2020—2024年年度报告，作者绘制。</w:t>
      </w:r>
    </w:p>
    <w:p>
      <w:pPr>
        <w:spacing w:before="0" w:after="0"/>
      </w:pPr>
      <w:r>
        <w:t xml:space="preserve"/>
      </w:r>
    </w:p>
    <w:p>
      <w:pPr>
        <w:spacing w:line="480" w:before="0" w:after="100"/>
        <w:ind w:firstLine="480"/>
        <w:jc w:val="both"/>
      </w:pPr>
      <w:r>
        <w:rPr>
          <w:rFonts w:ascii="SimSun" w:cs="SimSun" w:eastAsia="SimSun" w:hAnsi="SimSun"/>
          <w:b w:val="false"/>
          <w:bCs w:val="false"/>
          <w:sz w:val="24"/>
          <w:szCs w:val="24"/>
        </w:rPr>
        <w:t xml:space="preserve">图4和图7高度直观地揭示了邯郸银行风险识别能力的核心短板。正常类贷款占比从2020年的94.56%持续下降至2023年的87.69%；与此同时，关注类贷款占比从3.54%急剧攀升至2023年的10.07%，三年累计增幅185%，远超行业5%的均值参考水平，反映出大量贷款在滑落为不良之前经历了较长时间的"关注区间"滞留，形成典型的"缓慢沸腾"式风险积聚模式。</w:t>
      </w:r>
    </w:p>
    <w:p>
      <w:pPr>
        <w:spacing w:line="480" w:before="0" w:after="100"/>
        <w:ind w:firstLine="480"/>
        <w:jc w:val="both"/>
      </w:pPr>
      <w:r>
        <w:rPr>
          <w:rFonts w:ascii="SimSun" w:cs="SimSun" w:eastAsia="SimSun" w:hAnsi="SimSun"/>
          <w:b w:val="false"/>
          <w:bCs w:val="false"/>
          <w:sz w:val="24"/>
          <w:szCs w:val="24"/>
        </w:rPr>
        <w:t xml:space="preserve">一是内部评级模型建设滞后。邯郸银行尚未建立完整的内部信用评级系统（IRS），缺乏基于历史违约数据的违约概率（PD）和违约损失率（LGD）本土化估计能力，信用风险计量主要依赖定性判断和财务指标分析，难以实现风险的精准量化。</w:t>
      </w:r>
    </w:p>
    <w:p>
      <w:pPr>
        <w:spacing w:line="480" w:before="0" w:after="100"/>
        <w:ind w:firstLine="480"/>
        <w:jc w:val="both"/>
      </w:pPr>
      <w:r>
        <w:rPr>
          <w:rFonts w:ascii="SimSun" w:cs="SimSun" w:eastAsia="SimSun" w:hAnsi="SimSun"/>
          <w:b w:val="false"/>
          <w:bCs w:val="false"/>
          <w:sz w:val="24"/>
          <w:szCs w:val="24"/>
        </w:rPr>
        <w:t xml:space="preserve">二是大数据风控应用不足。尽管邯郸银行信息科技建设水平在省内城商行中处于领先位置（连续多年获科技监管评级2级最高档），但核心信贷业务系统与外部数据源的对接整合程度有限，借款人画像数据维度不足，难以支撑精细化的信用风险评估。</w:t>
      </w:r>
    </w:p>
    <w:p>
      <w:pPr>
        <w:spacing w:line="480" w:before="0" w:after="100"/>
        <w:ind w:firstLine="480"/>
        <w:jc w:val="both"/>
      </w:pPr>
      <w:r>
        <w:rPr>
          <w:rFonts w:ascii="SimSun" w:cs="SimSun" w:eastAsia="SimSun" w:hAnsi="SimSun"/>
          <w:b w:val="false"/>
          <w:bCs w:val="false"/>
          <w:sz w:val="24"/>
          <w:szCs w:val="24"/>
        </w:rPr>
        <w:t xml:space="preserve">三是在大模型AI时代的技术差距尤为明显。国内头部银行（如招商银行、宁波银行等）已开始探索将大语言模型嵌入信贷审查流程，用于非结构化文本信息的自动提取与风险信号识别，而邯郸银行在这一前沿技术领域仍处于观望阶段，存在技术迭代的滞后风险。</w:t>
      </w:r>
    </w:p>
    <w:p>
      <w:pPr>
        <w:spacing w:line="480" w:before="0" w:after="100"/>
        <w:ind w:firstLine="480"/>
        <w:jc w:val="both"/>
      </w:pPr>
      <w:r>
        <w:rPr>
          <w:rFonts w:ascii="SimSun" w:cs="SimSun" w:eastAsia="SimSun" w:hAnsi="SimSun"/>
          <w:b w:val="false"/>
          <w:bCs w:val="false"/>
          <w:sz w:val="24"/>
          <w:szCs w:val="24"/>
        </w:rPr>
        <w:t xml:space="preserve">四是早期预警机制灵敏度不足。从2020至2023年关注类贷款的持续快速积累来看，借款人信用状况恶化的早期信号未能及时捕捉，预警系统对"灰色区域"贷款的追踪监测能力有待大幅提升。</w:t>
      </w:r>
    </w:p>
    <w:p>
      <w:pPr>
        <w:pStyle w:val="Heading2"/>
        <w:spacing w:before="240" w:after="120"/>
        <w:ind/>
      </w:pPr>
      <w:r>
        <w:rPr>
          <w:rFonts w:ascii="SimHei" w:cs="SimHei" w:eastAsia="SimHei" w:hAnsi="SimHei"/>
          <w:b/>
          <w:bCs/>
          <w:sz w:val="26"/>
          <w:szCs w:val="26"/>
        </w:rPr>
        <w:t xml:space="preserve">（三）风险管控执行机制失效</w:t>
      </w:r>
    </w:p>
    <w:p>
      <w:pPr>
        <w:spacing w:line="480" w:before="0" w:after="100"/>
        <w:ind w:firstLine="480"/>
        <w:jc w:val="both"/>
      </w:pPr>
      <w:r>
        <w:rPr>
          <w:rFonts w:ascii="SimSun" w:cs="SimSun" w:eastAsia="SimSun" w:hAnsi="SimSun"/>
          <w:b w:val="false"/>
          <w:bCs w:val="false"/>
          <w:sz w:val="24"/>
          <w:szCs w:val="24"/>
        </w:rPr>
        <w:t xml:space="preserve">信用风险管理制度的生命力在于有效执行。然而，邯郸银行在风险管控执行层面存在若干突出问题。</w:t>
      </w:r>
    </w:p>
    <w:p>
      <w:pPr>
        <w:spacing w:before="0" w:after="0"/>
      </w:pPr>
      <w:r>
        <w:t xml:space="preserve"/>
      </w:r>
    </w:p>
    <w:p>
      <w:pPr>
        <w:spacing w:before="80" w:after="40"/>
        <w:ind/>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238500"/>
                    </a:xfrm>
                    <a:prstGeom prst="rect">
                      <a:avLst/>
                    </a:prstGeom>
                  </pic:spPr>
                </pic:pic>
              </a:graphicData>
            </a:graphic>
          </wp:inline>
        </w:drawing>
      </w:r>
    </w:p>
    <w:p>
      <w:pPr>
        <w:spacing w:before="60" w:after="160"/>
        <w:ind/>
        <w:jc w:val="center"/>
      </w:pPr>
      <w:r>
        <w:rPr>
          <w:rFonts w:ascii="SimHei" w:cs="SimHei" w:eastAsia="SimHei" w:hAnsi="SimHei"/>
          <w:b/>
          <w:bCs/>
          <w:color w:val="2E4057"/>
          <w:sz w:val="21"/>
          <w:szCs w:val="21"/>
        </w:rPr>
        <w:t xml:space="preserve">图6  邯郸银行2020—2024年净利润变化</w:t>
      </w:r>
    </w:p>
    <w:p>
      <w:pPr>
        <w:spacing w:before="0" w:after="160"/>
        <w:ind/>
        <w:jc w:val="left"/>
      </w:pPr>
      <w:r>
        <w:rPr>
          <w:rFonts w:ascii="SimSun" w:cs="SimSun" w:eastAsia="SimSun" w:hAnsi="SimSun"/>
          <w:color w:val="666666"/>
          <w:sz w:val="20"/>
          <w:szCs w:val="20"/>
        </w:rPr>
        <w:t xml:space="preserve">数据来源：邯郸银行2020—2024年年度报告，作者绘制。</w:t>
      </w:r>
    </w:p>
    <w:p>
      <w:pPr>
        <w:spacing w:before="0" w:after="0"/>
      </w:pPr>
      <w:r>
        <w:t xml:space="preserve"/>
      </w:r>
    </w:p>
    <w:p>
      <w:pPr>
        <w:spacing w:line="480" w:before="0" w:after="100"/>
        <w:ind w:firstLine="480"/>
        <w:jc w:val="both"/>
      </w:pPr>
      <w:r>
        <w:rPr>
          <w:rFonts w:ascii="SimSun" w:cs="SimSun" w:eastAsia="SimSun" w:hAnsi="SimSun"/>
          <w:b w:val="false"/>
          <w:bCs w:val="false"/>
          <w:sz w:val="24"/>
          <w:szCs w:val="24"/>
        </w:rPr>
        <w:t xml:space="preserve">图6显示，邯郸银行净利润呈现明显的"冲高回落"态势：2022年在宽松政策环境下净利润达峰值14.97亿元，但2023年骤降至6.21亿元，跌幅达58.5%。这一剧烈波动背后，折射出信用风险管控执行机制的系统性失当——业绩高峰期信贷扩张过快、风险过度承担，随后资产质量快速恶化，拨备计提压力骤增，导致利润大幅收缩。</w:t>
      </w:r>
    </w:p>
    <w:p>
      <w:pPr>
        <w:spacing w:line="480" w:before="0" w:after="100"/>
        <w:ind w:firstLine="480"/>
        <w:jc w:val="both"/>
      </w:pPr>
      <w:r>
        <w:rPr>
          <w:rFonts w:ascii="SimSun" w:cs="SimSun" w:eastAsia="SimSun" w:hAnsi="SimSun"/>
          <w:b w:val="false"/>
          <w:bCs w:val="false"/>
          <w:sz w:val="24"/>
          <w:szCs w:val="24"/>
        </w:rPr>
        <w:t xml:space="preserve">一是关联交易管控存在隐患。据2023年年报披露，当年董事会审议重大关联交易多达6笔，涉及回车巷置业、邯郸开发区城市发展、旭日房地产、阳光新世纪集团等，关联交易频率较高，存在信贷资源向特定利益相关方倾斜的风险，削弱了信用风险管理的独立性。</w:t>
      </w:r>
    </w:p>
    <w:p>
      <w:pPr>
        <w:spacing w:line="480" w:before="0" w:after="100"/>
        <w:ind w:firstLine="480"/>
        <w:jc w:val="both"/>
      </w:pPr>
      <w:r>
        <w:rPr>
          <w:rFonts w:ascii="SimSun" w:cs="SimSun" w:eastAsia="SimSun" w:hAnsi="SimSun"/>
          <w:b w:val="false"/>
          <w:bCs w:val="false"/>
          <w:sz w:val="24"/>
          <w:szCs w:val="24"/>
        </w:rPr>
        <w:t xml:space="preserve">二是股权结构变化带来管控挑战。2024年大股东发生重大变更，由邯郸市建设投资集团（持股14.01%）变更为河北新武安钢铁集团东山冶金有限公司（持股9.31%）。高比例民营资本持股（占71%）的背景下，大股东通过关联方渠道干预信贷决策的潜在风险不容忽视。</w:t>
      </w:r>
    </w:p>
    <w:p>
      <w:pPr>
        <w:spacing w:line="480" w:before="0" w:after="100"/>
        <w:ind w:firstLine="480"/>
        <w:jc w:val="both"/>
      </w:pPr>
      <w:r>
        <w:rPr>
          <w:rFonts w:ascii="SimSun" w:cs="SimSun" w:eastAsia="SimSun" w:hAnsi="SimSun"/>
          <w:b w:val="false"/>
          <w:bCs w:val="false"/>
          <w:sz w:val="24"/>
          <w:szCs w:val="24"/>
        </w:rPr>
        <w:t xml:space="preserve">三是拨备管理的周期性松弛。拨备覆盖率从2021年的182.26%下降至2023年的136.84%（逼近150%监管红线），反映出不良贷款生成速度超过拨备计提速度，风险识别、分类和拨备计提机制存在顺周期性倾向，"好年景少计提、坏年景补计提"的问题较为突出。</w:t>
      </w:r>
    </w:p>
    <w:p>
      <w:pPr>
        <w:spacing w:line="480" w:before="0" w:after="100"/>
        <w:ind w:firstLine="480"/>
        <w:jc w:val="both"/>
      </w:pPr>
      <w:r>
        <w:rPr>
          <w:rFonts w:ascii="SimSun" w:cs="SimSun" w:eastAsia="SimSun" w:hAnsi="SimSun"/>
          <w:b w:val="false"/>
          <w:bCs w:val="false"/>
          <w:sz w:val="24"/>
          <w:szCs w:val="24"/>
        </w:rPr>
        <w:t xml:space="preserve">四是考核机制存在"重业务、轻风险"导向。受传统绩效考核机制影响，一线信贷人员存在重放贷轻贷后的行为偏差，贷后检查流于形式，风险预警信号处置不及时，部分贷款从关注类向次级/可疑类的迁徙路径未能得到及时干预。</w:t>
      </w:r>
    </w:p>
    <w:p>
      <w:pPr>
        <w:pStyle w:val="Heading2"/>
        <w:spacing w:before="240" w:after="120"/>
        <w:ind/>
      </w:pPr>
      <w:r>
        <w:rPr>
          <w:rFonts w:ascii="SimHei" w:cs="SimHei" w:eastAsia="SimHei" w:hAnsi="SimHei"/>
          <w:b/>
          <w:bCs/>
          <w:sz w:val="26"/>
          <w:szCs w:val="26"/>
        </w:rPr>
        <w:t xml:space="preserve">（四）人才与内控建设滞后</w:t>
      </w:r>
    </w:p>
    <w:p>
      <w:pPr>
        <w:spacing w:line="480" w:before="0" w:after="100"/>
        <w:ind w:firstLine="480"/>
        <w:jc w:val="both"/>
      </w:pPr>
      <w:r>
        <w:rPr>
          <w:rFonts w:ascii="SimSun" w:cs="SimSun" w:eastAsia="SimSun" w:hAnsi="SimSun"/>
          <w:b w:val="false"/>
          <w:bCs w:val="false"/>
          <w:sz w:val="24"/>
          <w:szCs w:val="24"/>
        </w:rPr>
        <w:t xml:space="preserve">城商行长期面临风险管理专业人才短缺困境，邯郸银行同样存在此问题，且在大模型AI时代这一问题更加突出。</w:t>
      </w:r>
    </w:p>
    <w:p>
      <w:pPr>
        <w:spacing w:line="480" w:before="0" w:after="100"/>
        <w:ind w:firstLine="480"/>
        <w:jc w:val="both"/>
      </w:pPr>
      <w:r>
        <w:rPr>
          <w:rFonts w:ascii="SimSun" w:cs="SimSun" w:eastAsia="SimSun" w:hAnsi="SimSun"/>
          <w:b w:val="false"/>
          <w:bCs w:val="false"/>
          <w:sz w:val="24"/>
          <w:szCs w:val="24"/>
        </w:rPr>
        <w:t xml:space="preserve">一是量化风险管理人才不足。数据科学、机器学习、金融工程等复合型人才匮乏，不仅制约了大数据风控系统的研发和应用，更使得邯郸银行在面对大模型AI时代带来的技术变革时准备不足。与全国性股份制银行相比，邯郸银行在吸引高端技术人才方面面临薪酬待遇、职业发展通道、业务规模等多方面的竞争劣势。</w:t>
      </w:r>
    </w:p>
    <w:p>
      <w:pPr>
        <w:spacing w:line="480" w:before="0" w:after="100"/>
        <w:ind w:firstLine="480"/>
        <w:jc w:val="both"/>
      </w:pPr>
      <w:r>
        <w:rPr>
          <w:rFonts w:ascii="SimSun" w:cs="SimSun" w:eastAsia="SimSun" w:hAnsi="SimSun"/>
          <w:b w:val="false"/>
          <w:bCs w:val="false"/>
          <w:sz w:val="24"/>
          <w:szCs w:val="24"/>
        </w:rPr>
        <w:t xml:space="preserve">二是基层信贷人员综合素质有待提升。历年年报的内控督查记录反映出部分信贷人员经验不足、贷款"三查"流于形式的问题，对新兴行业（科技型企业、绿色产业等）的信用评估能力亟待加强。</w:t>
      </w:r>
    </w:p>
    <w:p>
      <w:pPr>
        <w:spacing w:line="480" w:before="0" w:after="100"/>
        <w:ind w:firstLine="480"/>
        <w:jc w:val="both"/>
      </w:pPr>
      <w:r>
        <w:rPr>
          <w:rFonts w:ascii="SimSun" w:cs="SimSun" w:eastAsia="SimSun" w:hAnsi="SimSun"/>
          <w:b w:val="false"/>
          <w:bCs w:val="false"/>
          <w:sz w:val="24"/>
          <w:szCs w:val="24"/>
        </w:rPr>
        <w:t xml:space="preserve">三是内控体系存在"重文本、轻落地"倾向。内控评价结果对员工绩效和晋升的约束力度有限，"纸面合规"和"实质违规"并存，制度执行的监督和问责机制还不够健全。</w:t>
      </w:r>
    </w:p>
    <w:p>
      <w:pPr>
        <w:spacing w:line="480" w:before="0" w:after="100"/>
        <w:ind w:firstLine="480"/>
        <w:jc w:val="both"/>
      </w:pPr>
      <w:r>
        <w:rPr>
          <w:rFonts w:ascii="SimSun" w:cs="SimSun" w:eastAsia="SimSun" w:hAnsi="SimSun"/>
          <w:b w:val="false"/>
          <w:bCs w:val="false"/>
          <w:sz w:val="24"/>
          <w:szCs w:val="24"/>
        </w:rPr>
        <w:t xml:space="preserve">四是高管和核心业务人员流动较为频繁。历年年报记录多次董事、监事、副行长等高管变更（2024年年报中刘刚辞任行长、韩延敏辞任副行长、王健康不再担任监事长），可能导致风险管理经验断层和传承缺失，影响信用风险管理体系的稳定性和持续性。</w:t>
      </w:r>
    </w:p>
    <w:p>
      <w:r>
        <w:br w:type="page"/>
      </w:r>
    </w:p>
    <w:p>
      <w:pPr>
        <w:pStyle w:val="Heading1"/>
        <w:spacing w:before="360" w:after="240"/>
        <w:ind/>
        <w:jc w:val="center"/>
      </w:pPr>
      <w:r>
        <w:rPr>
          <w:rFonts w:ascii="SimHei" w:cs="SimHei" w:eastAsia="SimHei" w:hAnsi="SimHei"/>
          <w:b/>
          <w:bCs/>
          <w:sz w:val="30"/>
          <w:szCs w:val="30"/>
        </w:rPr>
        <w:t xml:space="preserve">五、完善邯郸银行信用风险管理的对策建议</w:t>
      </w:r>
    </w:p>
    <w:p>
      <w:pPr>
        <w:spacing w:line="480" w:before="0" w:after="100"/>
        <w:ind w:firstLine="480"/>
        <w:jc w:val="both"/>
      </w:pPr>
      <w:r>
        <w:rPr>
          <w:rFonts w:ascii="SimSun" w:cs="SimSun" w:eastAsia="SimSun" w:hAnsi="SimSun"/>
          <w:b w:val="false"/>
          <w:bCs w:val="false"/>
          <w:sz w:val="24"/>
          <w:szCs w:val="24"/>
        </w:rPr>
        <w:t xml:space="preserve">结合前述问题分析，本文从优化信贷全流程、升级智能风控系统（重点融入大模型AI等前沿技术）、强化执行层面管理、推进人才能力建设四个维度提出系统性对策建议，各维度之间相辅相成，构成完整的改进框架（见表3）。</w:t>
      </w:r>
    </w:p>
    <w:p>
      <w:pPr>
        <w:spacing w:before="0" w:after="0"/>
      </w:pPr>
      <w:r>
        <w:t xml:space="preserve"/>
      </w:r>
    </w:p>
    <w:p>
      <w:pPr>
        <w:spacing w:before="160" w:after="80"/>
        <w:ind/>
        <w:jc w:val="center"/>
      </w:pPr>
      <w:r>
        <w:rPr>
          <w:rFonts w:ascii="SimHei" w:cs="SimHei" w:eastAsia="SimHei" w:hAnsi="SimHei"/>
          <w:b/>
          <w:bCs/>
          <w:sz w:val="22"/>
          <w:szCs w:val="22"/>
        </w:rPr>
        <w:t xml:space="preserve">表3  邯郸银行信用风险管理对策建议综合框架</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2900"/>
      </w:tblGrid>
      <w:tr>
        <w:trPr>
          <w:tblHeader/>
        </w:trPr>
        <w:tc>
          <w:tcPr>
            <w:tcW w:type="dxa" w:w="1800"/>
            <w:tcBorders>
              <w:top w:val="single" w:color="888888" w:sz="1"/>
              <w:left w:val="single" w:color="888888" w:sz="1"/>
              <w:bottom w:val="single" w:color="888888" w:sz="1"/>
              <w:right w:val="single" w:color="888888" w:sz="1"/>
            </w:tcBorders>
            <w:shd w:fill="C5DCF0" w:val="clear"/>
            <w:tcMar>
              <w:top w:type="dxa" w:w="60"/>
              <w:left w:type="dxa" w:w="120"/>
              <w:bottom w:type="dxa" w:w="60"/>
              <w:right w:type="dxa" w:w="120"/>
            </w:tcMar>
          </w:tcPr>
          <w:p>
            <w:pPr>
              <w:jc w:val="center"/>
            </w:pPr>
            <w:r>
              <w:rPr>
                <w:rFonts w:ascii="SimHei" w:cs="SimHei" w:eastAsia="SimHei" w:hAnsi="SimHei"/>
                <w:b/>
                <w:bCs/>
                <w:sz w:val="21"/>
                <w:szCs w:val="21"/>
              </w:rPr>
              <w:t xml:space="preserve">问题维度</w:t>
            </w:r>
          </w:p>
        </w:tc>
        <w:tc>
          <w:tcPr>
            <w:tcW w:type="dxa" w:w="3500"/>
            <w:tcBorders>
              <w:top w:val="single" w:color="888888" w:sz="1"/>
              <w:left w:val="single" w:color="888888" w:sz="1"/>
              <w:bottom w:val="single" w:color="888888" w:sz="1"/>
              <w:right w:val="single" w:color="888888" w:sz="1"/>
            </w:tcBorders>
            <w:shd w:fill="C5DCF0" w:val="clear"/>
            <w:tcMar>
              <w:top w:type="dxa" w:w="60"/>
              <w:left w:type="dxa" w:w="120"/>
              <w:bottom w:type="dxa" w:w="60"/>
              <w:right w:type="dxa" w:w="120"/>
            </w:tcMar>
          </w:tcPr>
          <w:p>
            <w:pPr>
              <w:jc w:val="center"/>
            </w:pPr>
            <w:r>
              <w:rPr>
                <w:rFonts w:ascii="SimHei" w:cs="SimHei" w:eastAsia="SimHei" w:hAnsi="SimHei"/>
                <w:b/>
                <w:bCs/>
                <w:sz w:val="21"/>
                <w:szCs w:val="21"/>
              </w:rPr>
              <w:t xml:space="preserve">核心对策</w:t>
            </w:r>
          </w:p>
        </w:tc>
        <w:tc>
          <w:tcPr>
            <w:tcW w:type="dxa" w:w="2900"/>
            <w:tcBorders>
              <w:top w:val="single" w:color="888888" w:sz="1"/>
              <w:left w:val="single" w:color="888888" w:sz="1"/>
              <w:bottom w:val="single" w:color="888888" w:sz="1"/>
              <w:right w:val="single" w:color="888888" w:sz="1"/>
            </w:tcBorders>
            <w:shd w:fill="C5DCF0" w:val="clear"/>
            <w:tcMar>
              <w:top w:type="dxa" w:w="60"/>
              <w:left w:type="dxa" w:w="120"/>
              <w:bottom w:type="dxa" w:w="60"/>
              <w:right w:type="dxa" w:w="120"/>
            </w:tcMar>
          </w:tcPr>
          <w:p>
            <w:pPr>
              <w:jc w:val="center"/>
            </w:pPr>
            <w:r>
              <w:rPr>
                <w:rFonts w:ascii="SimHei" w:cs="SimHei" w:eastAsia="SimHei" w:hAnsi="SimHei"/>
                <w:b/>
                <w:bCs/>
                <w:sz w:val="21"/>
                <w:szCs w:val="21"/>
              </w:rPr>
              <w:t xml:space="preserve">目标指标</w:t>
            </w:r>
          </w:p>
        </w:tc>
      </w:tr>
      <w:tr>
        <w:tc>
          <w:tcPr>
            <w:tcW w:type="dxa" w:w="18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left"/>
            </w:pPr>
            <w:r>
              <w:rPr>
                <w:rFonts w:ascii="SimSun" w:cs="SimSun" w:eastAsia="SimSun" w:hAnsi="SimSun"/>
                <w:sz w:val="20"/>
                <w:szCs w:val="20"/>
              </w:rPr>
              <w:t xml:space="preserve">信贷行业集中</w:t>
            </w:r>
          </w:p>
        </w:tc>
        <w:tc>
          <w:tcPr>
            <w:tcW w:type="dxa" w:w="35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行业"红黄绿"准入、行业上限管控</w:t>
            </w:r>
          </w:p>
        </w:tc>
        <w:tc>
          <w:tcPr>
            <w:tcW w:type="dxa" w:w="29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建筑业占比压降至8%以内</w:t>
            </w:r>
          </w:p>
        </w:tc>
      </w:tr>
      <w:tr>
        <w:tc>
          <w:tcPr>
            <w:tcW w:type="dxa" w:w="18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left"/>
            </w:pPr>
            <w:r>
              <w:rPr>
                <w:rFonts w:ascii="SimSun" w:cs="SimSun" w:eastAsia="SimSun" w:hAnsi="SimSun"/>
                <w:sz w:val="20"/>
                <w:szCs w:val="20"/>
              </w:rPr>
              <w:t xml:space="preserve">客户信息不对称</w:t>
            </w:r>
          </w:p>
        </w:tc>
        <w:tc>
          <w:tcPr>
            <w:tcW w:type="dxa" w:w="35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接入政务数据、税务、大数据AI画像</w:t>
            </w:r>
          </w:p>
        </w:tc>
        <w:tc>
          <w:tcPr>
            <w:tcW w:type="dxa" w:w="29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客户画像维度提升50%以上</w:t>
            </w:r>
          </w:p>
        </w:tc>
      </w:tr>
      <w:tr>
        <w:tc>
          <w:tcPr>
            <w:tcW w:type="dxa" w:w="18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left"/>
            </w:pPr>
            <w:r>
              <w:rPr>
                <w:rFonts w:ascii="SimSun" w:cs="SimSun" w:eastAsia="SimSun" w:hAnsi="SimSun"/>
                <w:sz w:val="20"/>
                <w:szCs w:val="20"/>
              </w:rPr>
              <w:t xml:space="preserve">风险识别滞后</w:t>
            </w:r>
          </w:p>
        </w:tc>
        <w:tc>
          <w:tcPr>
            <w:tcW w:type="dxa" w:w="35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建立内评系统、LLM早期预警平台</w:t>
            </w:r>
          </w:p>
        </w:tc>
        <w:tc>
          <w:tcPr>
            <w:tcW w:type="dxa" w:w="29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关注类贷款提前识别，减少滞留</w:t>
            </w:r>
          </w:p>
        </w:tc>
      </w:tr>
      <w:tr>
        <w:tc>
          <w:tcPr>
            <w:tcW w:type="dxa" w:w="18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left"/>
            </w:pPr>
            <w:r>
              <w:rPr>
                <w:rFonts w:ascii="SimSun" w:cs="SimSun" w:eastAsia="SimSun" w:hAnsi="SimSun"/>
                <w:sz w:val="20"/>
                <w:szCs w:val="20"/>
              </w:rPr>
              <w:t xml:space="preserve">执行机制失效</w:t>
            </w:r>
          </w:p>
        </w:tc>
        <w:tc>
          <w:tcPr>
            <w:tcW w:type="dxa" w:w="35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信贷流程数字化、关联交易专项审查</w:t>
            </w:r>
          </w:p>
        </w:tc>
        <w:tc>
          <w:tcPr>
            <w:tcW w:type="dxa" w:w="29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流程留痕率100%，风险可视化</w:t>
            </w:r>
          </w:p>
        </w:tc>
      </w:tr>
      <w:tr>
        <w:tc>
          <w:tcPr>
            <w:tcW w:type="dxa" w:w="18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left"/>
            </w:pPr>
            <w:r>
              <w:rPr>
                <w:rFonts w:ascii="SimSun" w:cs="SimSun" w:eastAsia="SimSun" w:hAnsi="SimSun"/>
                <w:sz w:val="20"/>
                <w:szCs w:val="20"/>
              </w:rPr>
              <w:t xml:space="preserve">考核导向偏差</w:t>
            </w:r>
          </w:p>
        </w:tc>
        <w:tc>
          <w:tcPr>
            <w:tcW w:type="dxa" w:w="35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风险KPI权重提升、全链条问责</w:t>
            </w:r>
          </w:p>
        </w:tc>
        <w:tc>
          <w:tcPr>
            <w:tcW w:type="dxa" w:w="29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贷后检查覆盖率≥95%</w:t>
            </w:r>
          </w:p>
        </w:tc>
      </w:tr>
      <w:tr>
        <w:tc>
          <w:tcPr>
            <w:tcW w:type="dxa" w:w="18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left"/>
            </w:pPr>
            <w:r>
              <w:rPr>
                <w:rFonts w:ascii="SimSun" w:cs="SimSun" w:eastAsia="SimSun" w:hAnsi="SimSun"/>
                <w:sz w:val="20"/>
                <w:szCs w:val="20"/>
              </w:rPr>
              <w:t xml:space="preserve">人才能力不足</w:t>
            </w:r>
          </w:p>
        </w:tc>
        <w:tc>
          <w:tcPr>
            <w:tcW w:type="dxa" w:w="35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AI专项培训、引进高端风险人才</w:t>
            </w:r>
          </w:p>
        </w:tc>
        <w:tc>
          <w:tcPr>
            <w:tcW w:type="dxa" w:w="2900"/>
            <w:tcBorders>
              <w:top w:val="single" w:color="888888" w:sz="1"/>
              <w:left w:val="single" w:color="888888" w:sz="1"/>
              <w:bottom w:val="single" w:color="888888" w:sz="1"/>
              <w:right w:val="single" w:color="888888" w:sz="1"/>
            </w:tcBorders>
            <w:tcMar>
              <w:top w:type="dxa" w:w="55"/>
              <w:left w:type="dxa" w:w="110"/>
              <w:bottom w:type="dxa" w:w="55"/>
              <w:right w:type="dxa" w:w="110"/>
            </w:tcMar>
          </w:tcPr>
          <w:p>
            <w:pPr>
              <w:jc w:val="center"/>
            </w:pPr>
            <w:r>
              <w:rPr>
                <w:rFonts w:ascii="SimSun" w:cs="SimSun" w:eastAsia="SimSun" w:hAnsi="SimSun"/>
                <w:sz w:val="20"/>
                <w:szCs w:val="20"/>
              </w:rPr>
              <w:t xml:space="preserve">量化风险分析人员数量翻倍</w:t>
            </w:r>
          </w:p>
        </w:tc>
      </w:tr>
    </w:tbl>
    <w:p>
      <w:pPr>
        <w:spacing w:before="60" w:after="160"/>
        <w:ind/>
        <w:jc w:val="left"/>
      </w:pPr>
      <w:r>
        <w:rPr>
          <w:rFonts w:ascii="SimSun" w:cs="SimSun" w:eastAsia="SimSun" w:hAnsi="SimSun"/>
          <w:color w:val="666666"/>
          <w:sz w:val="20"/>
          <w:szCs w:val="20"/>
        </w:rPr>
        <w:t xml:space="preserve">资料来源：作者整理。</w:t>
      </w:r>
    </w:p>
    <w:p>
      <w:pPr>
        <w:spacing w:before="0" w:after="0"/>
      </w:pPr>
      <w:r>
        <w:t xml:space="preserve"/>
      </w:r>
    </w:p>
    <w:p>
      <w:pPr>
        <w:pStyle w:val="Heading2"/>
        <w:spacing w:before="240" w:after="120"/>
        <w:ind/>
      </w:pPr>
      <w:r>
        <w:rPr>
          <w:rFonts w:ascii="SimHei" w:cs="SimHei" w:eastAsia="SimHei" w:hAnsi="SimHei"/>
          <w:b/>
          <w:bCs/>
          <w:sz w:val="26"/>
          <w:szCs w:val="26"/>
        </w:rPr>
        <w:t xml:space="preserve">（一）优化信贷全流程</w:t>
      </w:r>
    </w:p>
    <w:p>
      <w:pPr>
        <w:spacing w:line="480" w:before="0" w:after="100"/>
        <w:ind w:firstLine="480"/>
        <w:jc w:val="both"/>
      </w:pPr>
      <w:r>
        <w:rPr>
          <w:rFonts w:ascii="SimSun" w:cs="SimSun" w:eastAsia="SimSun" w:hAnsi="SimSun"/>
          <w:b w:val="false"/>
          <w:bCs w:val="false"/>
          <w:sz w:val="24"/>
          <w:szCs w:val="24"/>
        </w:rPr>
        <w:t xml:space="preserve">针对信用风险管理体系与业务特点不匹配的问题，建议从贷款生命周期全链条视角重构信贷管理流程，实现"事前严筛、事中动管、事后敏处"的管理闭环。</w:t>
      </w:r>
    </w:p>
    <w:p>
      <w:pPr>
        <w:pStyle w:val="Heading3"/>
        <w:spacing w:before="200" w:after="80"/>
        <w:ind/>
      </w:pPr>
      <w:r>
        <w:rPr>
          <w:rFonts w:ascii="SimHei" w:cs="SimHei" w:eastAsia="SimHei" w:hAnsi="SimHei"/>
          <w:b/>
          <w:bCs/>
          <w:sz w:val="24"/>
          <w:szCs w:val="24"/>
        </w:rPr>
        <w:t xml:space="preserve">1. 贷前智能筛选</w:t>
      </w:r>
    </w:p>
    <w:p>
      <w:pPr>
        <w:spacing w:line="480" w:before="0" w:after="100"/>
        <w:ind w:firstLine="480"/>
        <w:jc w:val="both"/>
      </w:pPr>
      <w:r>
        <w:rPr>
          <w:rFonts w:ascii="SimSun" w:cs="SimSun" w:eastAsia="SimSun" w:hAnsi="SimSun"/>
          <w:b w:val="false"/>
          <w:bCs w:val="false"/>
          <w:sz w:val="24"/>
          <w:szCs w:val="24"/>
        </w:rPr>
        <w:t xml:space="preserve">建立多维度客户信用准入标准，将行业风险、区域风险、客户风险三类因素纳入准入矩阵统一评估。具体措施包括：建立行业"红黄绿"分类准入管理机制，参照监管要求和宏观产业政策，对产能过剩行业和周期敏感行业实施红线管控——以当前数据为例，建议将建筑业贷款占比上限设定为8%（当前9.73%需逐步压缩），防范房地产下行风险持续传导；引入税务、工商、法院、舆情等多元外部数据，与河北省金融综合服务平台、税务局数据共享平台深度对接，通过企业纳税数据、发票流水、社保缴纳等硬信息弥补财务报表信息不对称；针对"专精特新"、科技型企业等非传统客户，制定知识产权质押、科技型企业专属信用评估方案，既防控新类型风险，又避免对优质客户的"误伤"。</w:t>
      </w:r>
    </w:p>
    <w:p>
      <w:pPr>
        <w:pStyle w:val="Heading3"/>
        <w:spacing w:before="200" w:after="80"/>
        <w:ind/>
      </w:pPr>
      <w:r>
        <w:rPr>
          <w:rFonts w:ascii="SimHei" w:cs="SimHei" w:eastAsia="SimHei" w:hAnsi="SimHei"/>
          <w:b/>
          <w:bCs/>
          <w:sz w:val="24"/>
          <w:szCs w:val="24"/>
        </w:rPr>
        <w:t xml:space="preserve">2. 贷中动态管控</w:t>
      </w:r>
    </w:p>
    <w:p>
      <w:pPr>
        <w:spacing w:line="480" w:before="0" w:after="100"/>
        <w:ind w:firstLine="480"/>
        <w:jc w:val="both"/>
      </w:pPr>
      <w:r>
        <w:rPr>
          <w:rFonts w:ascii="SimSun" w:cs="SimSun" w:eastAsia="SimSun" w:hAnsi="SimSun"/>
          <w:b w:val="false"/>
          <w:bCs w:val="false"/>
          <w:sz w:val="24"/>
          <w:szCs w:val="24"/>
        </w:rPr>
        <w:t xml:space="preserve">构建贷款健康指数动态监测机制，对每笔贷款设定包含账户资金流量、关联企业变动、抵押物价值、行业景气度等在内的综合监测指标，设置黄色预警（健康指数下降20%触发）和红色预警（下降40%触发）两档阈值，预警触发后48小时内完成现场核查，实现风险早发现。完善大额贷款定期评估机制，对5000万元以上授信客户按季度开展专项现场检查，结合客户经营情况出具评估报告，作为续贷审批的重要依据。加强抵押物动态重估，尤其对房地产、股权等价格波动较大的抵押物建立定期重估机制，确保抵质押覆盖率始终满足风控要求。</w:t>
      </w:r>
    </w:p>
    <w:p>
      <w:pPr>
        <w:pStyle w:val="Heading3"/>
        <w:spacing w:before="200" w:after="80"/>
        <w:ind/>
      </w:pPr>
      <w:r>
        <w:rPr>
          <w:rFonts w:ascii="SimHei" w:cs="SimHei" w:eastAsia="SimHei" w:hAnsi="SimHei"/>
          <w:b/>
          <w:bCs/>
          <w:sz w:val="24"/>
          <w:szCs w:val="24"/>
        </w:rPr>
        <w:t xml:space="preserve">3. 贷后敏捷响应</w:t>
      </w:r>
    </w:p>
    <w:p>
      <w:pPr>
        <w:spacing w:line="480" w:before="0" w:after="100"/>
        <w:ind w:firstLine="480"/>
        <w:jc w:val="both"/>
      </w:pPr>
      <w:r>
        <w:rPr>
          <w:rFonts w:ascii="SimSun" w:cs="SimSun" w:eastAsia="SimSun" w:hAnsi="SimSun"/>
          <w:b w:val="false"/>
          <w:bCs w:val="false"/>
          <w:sz w:val="24"/>
          <w:szCs w:val="24"/>
        </w:rPr>
        <w:t xml:space="preserve">以2024年的成功经验为鉴（不良率从2.24%压降至1.38%，拨备覆盖率跃升至204.35%），建立分级分类的不良资产处置快速响应机制，将主动处置策略常态化。对关注类贷款实施"一户一案"，根据客户实际选择重组、展期、担保替换或催收；对逾期90天以内的贷款加大协商重组力度，防止向次级以下下迁；对确实无法偿还的不良贷款加快核销和批量转让，避免历史包袱拖累资产质量。同时，建立关注类贷款季度清零目标，将关注类占比控制目标纳入行级年度绩效考核。</w:t>
      </w:r>
    </w:p>
    <w:p>
      <w:pPr>
        <w:pStyle w:val="Heading2"/>
        <w:spacing w:before="240" w:after="120"/>
        <w:ind/>
      </w:pPr>
      <w:r>
        <w:rPr>
          <w:rFonts w:ascii="SimHei" w:cs="SimHei" w:eastAsia="SimHei" w:hAnsi="SimHei"/>
          <w:b/>
          <w:bCs/>
          <w:sz w:val="26"/>
          <w:szCs w:val="26"/>
        </w:rPr>
        <w:t xml:space="preserve">（二）升级智能风控系统</w:t>
      </w:r>
    </w:p>
    <w:p>
      <w:pPr>
        <w:spacing w:line="480" w:before="0" w:after="100"/>
        <w:ind w:firstLine="480"/>
        <w:jc w:val="both"/>
      </w:pPr>
      <w:r>
        <w:rPr>
          <w:rFonts w:ascii="SimSun" w:cs="SimSun" w:eastAsia="SimSun" w:hAnsi="SimSun"/>
          <w:b w:val="false"/>
          <w:bCs w:val="false"/>
          <w:sz w:val="24"/>
          <w:szCs w:val="24"/>
        </w:rPr>
        <w:t xml:space="preserve">针对风险识别技术体系落后的问题，建议从技术底座、模型体系、数据整合和大模型AI应用四个维度全面升级，充分拥抱大模型AI时代带来的技术变革机遇。</w:t>
      </w:r>
    </w:p>
    <w:p>
      <w:pPr>
        <w:pStyle w:val="Heading3"/>
        <w:spacing w:before="200" w:after="80"/>
        <w:ind/>
      </w:pPr>
      <w:r>
        <w:rPr>
          <w:rFonts w:ascii="SimHei" w:cs="SimHei" w:eastAsia="SimHei" w:hAnsi="SimHei"/>
          <w:b/>
          <w:bCs/>
          <w:sz w:val="24"/>
          <w:szCs w:val="24"/>
        </w:rPr>
        <w:t xml:space="preserve">1. 升级技术底座</w:t>
      </w:r>
    </w:p>
    <w:p>
      <w:pPr>
        <w:spacing w:line="480" w:before="0" w:after="100"/>
        <w:ind w:firstLine="480"/>
        <w:jc w:val="both"/>
      </w:pPr>
      <w:r>
        <w:rPr>
          <w:rFonts w:ascii="SimSun" w:cs="SimSun" w:eastAsia="SimSun" w:hAnsi="SimSun"/>
          <w:b w:val="false"/>
          <w:bCs w:val="false"/>
          <w:sz w:val="24"/>
          <w:szCs w:val="24"/>
        </w:rPr>
        <w:t xml:space="preserve">依托邯郸银行已建成的同城"双活"及"多活"数据中心，进一步完善统一数据中台建设，打通信贷核心系统、风险管理系统、资产负债管理系统之间的数据壁垒，实现信用风险数据的实时汇聚、统一存储和高效调用。引入分布式数据库和实时计算框架（如Flink、Spark Streaming），支撑高并发的实时风险计算需求，为大模型AI应用奠定坚实的算力和数据基础设施。</w:t>
      </w:r>
    </w:p>
    <w:p>
      <w:pPr>
        <w:pStyle w:val="Heading3"/>
        <w:spacing w:before="200" w:after="80"/>
        <w:ind/>
      </w:pPr>
      <w:r>
        <w:rPr>
          <w:rFonts w:ascii="SimHei" w:cs="SimHei" w:eastAsia="SimHei" w:hAnsi="SimHei"/>
          <w:b/>
          <w:bCs/>
          <w:sz w:val="24"/>
          <w:szCs w:val="24"/>
        </w:rPr>
        <w:t xml:space="preserve">2. 重构模型体系</w:t>
      </w:r>
    </w:p>
    <w:p>
      <w:pPr>
        <w:spacing w:line="480" w:before="0" w:after="100"/>
        <w:ind w:firstLine="480"/>
        <w:jc w:val="both"/>
      </w:pPr>
      <w:r>
        <w:rPr>
          <w:rFonts w:ascii="SimSun" w:cs="SimSun" w:eastAsia="SimSun" w:hAnsi="SimSun"/>
          <w:b w:val="false"/>
          <w:bCs w:val="false"/>
          <w:sz w:val="24"/>
          <w:szCs w:val="24"/>
        </w:rPr>
        <w:t xml:space="preserve">分阶段推进内部信用评级系统建设：近期（1—2年），基于历史贷款数据建立初级违约预测模型，测算主要客户群体的PD和LGD参数，引入XGBoost、随机森林等机器学习算法优化传统评分卡；中期（3—5年），完善覆盖企业客户、小微客户、个人客户三大群体的内部信用评级体系，实现基于内评法的资本计量；远期（5年以上），争取申请采用内部评级法（IRB）计量信用风险资本，提升资本使用效率。</w:t>
      </w:r>
    </w:p>
    <w:p>
      <w:pPr>
        <w:spacing w:line="480" w:before="0" w:after="100"/>
        <w:ind w:firstLine="480"/>
        <w:jc w:val="both"/>
      </w:pPr>
      <w:r>
        <w:rPr>
          <w:rFonts w:ascii="SimSun" w:cs="SimSun" w:eastAsia="SimSun" w:hAnsi="SimSun"/>
          <w:b w:val="false"/>
          <w:bCs w:val="false"/>
          <w:sz w:val="24"/>
          <w:szCs w:val="24"/>
        </w:rPr>
        <w:t xml:space="preserve">在大模型AI应用层面，建议重点推进以下实践：一是引入金融垂直领域大模型（如金融版ChatGLM、通义金融等），用于信贷申请材料的自动审阅和风险标注，辅助信贷审查人员快速识别关键风险点，显著提升审查效率；二是构建基于LLM的企业风险画像系统，自动提取整合工商信息、司法记录、媒体舆情、行业报告等非结构化数据，生成结构化的借款人风险画像，弥补传统财务指标分析的局限；三是探索将大模型嵌入贷后预警体系，利用大模型对企业公告、新闻舆情、行业动态的实时语义理解能力，提前6—12个月识别借款人经营恶化信号，实现早于传统财务分析1—2个季度的超前预警。</w:t>
      </w:r>
    </w:p>
    <w:p>
      <w:pPr>
        <w:spacing w:line="480" w:before="0" w:after="100"/>
        <w:ind w:firstLine="480"/>
        <w:jc w:val="both"/>
      </w:pPr>
      <w:r>
        <w:rPr>
          <w:rFonts w:ascii="SimSun" w:cs="SimSun" w:eastAsia="SimSun" w:hAnsi="SimSun"/>
          <w:b w:val="false"/>
          <w:bCs w:val="false"/>
          <w:sz w:val="24"/>
          <w:szCs w:val="24"/>
        </w:rPr>
        <w:t xml:space="preserve">需要特别指出的是，大模型AI在信用风险管理中的应用也面临若干挑战：一是"幻觉"风险（Hallucination），大模型可能生成看似合理但实际错误的风险判断，需建立人工审核机制作为保障；二是可解释性问题，大模型的决策过程难以用传统逻辑完整解释，在监管合规层面存在挑战，需建立基于SHAP、LIME等可解释AI技术的辅助解释框架；三是数据隐私和安全问题，信贷数据属于高度敏感的金融数据，在引入大模型处理时需严格遵守数据合规要求（如金融数据安全法规），优先采用私有化部署方案而非公有云API调用。</w:t>
      </w:r>
    </w:p>
    <w:p>
      <w:pPr>
        <w:pStyle w:val="Heading3"/>
        <w:spacing w:before="200" w:after="80"/>
        <w:ind/>
      </w:pPr>
      <w:r>
        <w:rPr>
          <w:rFonts w:ascii="SimHei" w:cs="SimHei" w:eastAsia="SimHei" w:hAnsi="SimHei"/>
          <w:b/>
          <w:bCs/>
          <w:sz w:val="24"/>
          <w:szCs w:val="24"/>
        </w:rPr>
        <w:t xml:space="preserve">3. 打破数据孤岛</w:t>
      </w:r>
    </w:p>
    <w:p>
      <w:pPr>
        <w:spacing w:line="480" w:before="0" w:after="100"/>
        <w:ind w:firstLine="480"/>
        <w:jc w:val="both"/>
      </w:pPr>
      <w:r>
        <w:rPr>
          <w:rFonts w:ascii="SimSun" w:cs="SimSun" w:eastAsia="SimSun" w:hAnsi="SimSun"/>
          <w:b w:val="false"/>
          <w:bCs w:val="false"/>
          <w:sz w:val="24"/>
          <w:szCs w:val="24"/>
        </w:rPr>
        <w:t xml:space="preserve">建议积极推进数据对接工作：与人民银行征信中心深化合作提升征信数据调阅效率；接入河北省政务数据共享平台获取税务、市场监管、法院执行等政务数据；与供应链金融平台合作获取企业经营流水等替代数据（Alternative Data），弥补传统财务数据滞后性；建立省内城商行间信用风险信息合规共享机制，降低多头授信和欺诈风险。</w:t>
      </w:r>
    </w:p>
    <w:p>
      <w:pPr>
        <w:pStyle w:val="Heading3"/>
        <w:spacing w:before="200" w:after="80"/>
        <w:ind/>
      </w:pPr>
      <w:r>
        <w:rPr>
          <w:rFonts w:ascii="SimHei" w:cs="SimHei" w:eastAsia="SimHei" w:hAnsi="SimHei"/>
          <w:b/>
          <w:bCs/>
          <w:sz w:val="24"/>
          <w:szCs w:val="24"/>
        </w:rPr>
        <w:t xml:space="preserve">4. 提升大数据分析能力</w:t>
      </w:r>
    </w:p>
    <w:p>
      <w:pPr>
        <w:spacing w:line="480" w:before="0" w:after="100"/>
        <w:ind w:firstLine="480"/>
        <w:jc w:val="both"/>
      </w:pPr>
      <w:r>
        <w:rPr>
          <w:rFonts w:ascii="SimSun" w:cs="SimSun" w:eastAsia="SimSun" w:hAnsi="SimSun"/>
          <w:b w:val="false"/>
          <w:bCs w:val="false"/>
          <w:sz w:val="24"/>
          <w:szCs w:val="24"/>
        </w:rPr>
        <w:t xml:space="preserve">建设实时风险预警平台，对全行贷款账户的关键风险信号（存款骤降、对外大额转账、经营地址变更、核心人员离职等）实施7×24小时监测，将预警响应时间从"每日监测"缩短至实时级别；推广知识图谱技术，挖掘关联企业、隐性担保、交叉持股等隐性关系，有效识别关联风险；开展定期压力测试，结合邯郸地区钢铁、煤炭等周期性行业特征，设计行业冲击情景（如钢价下跌30%、限产政策收紧等），评估极端情况下资产质量和资本充足水平的变化幅度。</w:t>
      </w:r>
    </w:p>
    <w:p>
      <w:pPr>
        <w:pStyle w:val="Heading2"/>
        <w:spacing w:before="240" w:after="120"/>
        <w:ind/>
      </w:pPr>
      <w:r>
        <w:rPr>
          <w:rFonts w:ascii="SimHei" w:cs="SimHei" w:eastAsia="SimHei" w:hAnsi="SimHei"/>
          <w:b/>
          <w:bCs/>
          <w:sz w:val="26"/>
          <w:szCs w:val="26"/>
        </w:rPr>
        <w:t xml:space="preserve">（三）强化执行层面管理</w:t>
      </w:r>
    </w:p>
    <w:p>
      <w:pPr>
        <w:spacing w:line="480" w:before="0" w:after="100"/>
        <w:ind w:firstLine="480"/>
        <w:jc w:val="both"/>
      </w:pPr>
      <w:r>
        <w:rPr>
          <w:rFonts w:ascii="SimSun" w:cs="SimSun" w:eastAsia="SimSun" w:hAnsi="SimSun"/>
          <w:b w:val="false"/>
          <w:bCs w:val="false"/>
          <w:sz w:val="24"/>
          <w:szCs w:val="24"/>
        </w:rPr>
        <w:t xml:space="preserve">针对风险管控执行机制失效的问题，需从流程管控和考核文化两个维度同步发力，将制度约束转化为员工的行为自觉，实现从"纸面合规"到"实质合规"的根本转变。</w:t>
      </w:r>
    </w:p>
    <w:p>
      <w:pPr>
        <w:pStyle w:val="Heading3"/>
        <w:spacing w:before="200" w:after="80"/>
        <w:ind/>
      </w:pPr>
      <w:r>
        <w:rPr>
          <w:rFonts w:ascii="SimHei" w:cs="SimHei" w:eastAsia="SimHei" w:hAnsi="SimHei"/>
          <w:b/>
          <w:bCs/>
          <w:sz w:val="24"/>
          <w:szCs w:val="24"/>
        </w:rPr>
        <w:t xml:space="preserve">1. 强化流程管控能力</w:t>
      </w:r>
    </w:p>
    <w:p>
      <w:pPr>
        <w:spacing w:line="480" w:before="0" w:after="100"/>
        <w:ind w:firstLine="480"/>
        <w:jc w:val="both"/>
      </w:pPr>
      <w:r>
        <w:rPr>
          <w:rFonts w:ascii="SimSun" w:cs="SimSun" w:eastAsia="SimSun" w:hAnsi="SimSun"/>
          <w:b w:val="false"/>
          <w:bCs w:val="false"/>
          <w:sz w:val="24"/>
          <w:szCs w:val="24"/>
        </w:rPr>
        <w:t xml:space="preserve">一是引入信贷流程数字化管控系统，将贷款"三查"的关键节点（现场走访照片、财务资料上传时间戳、审批意见电子签名等）嵌入信贷管理系统，实现全流程留痕和可追溯，消除流程执行的"灰色地带"。借助AI技术，可对信贷档案的完整性和规范性进行自动化智能核查，大幅降低人工抽查成本。</w:t>
      </w:r>
    </w:p>
    <w:p>
      <w:pPr>
        <w:spacing w:line="480" w:before="0" w:after="100"/>
        <w:ind w:firstLine="480"/>
        <w:jc w:val="both"/>
      </w:pPr>
      <w:r>
        <w:rPr>
          <w:rFonts w:ascii="SimSun" w:cs="SimSun" w:eastAsia="SimSun" w:hAnsi="SimSun"/>
          <w:b w:val="false"/>
          <w:bCs w:val="false"/>
          <w:sz w:val="24"/>
          <w:szCs w:val="24"/>
        </w:rPr>
        <w:t xml:space="preserve">二是加强关联交易合规管控。建立关联交易季度专项报告制度，由审计委员会对关联交易定价公允性和信贷资金流向进行独立审查；借助知识图谱技术提升隐性关联方识别能力，防范关联方信贷风险。2023年董事会审议6笔重大关联交易的现象说明，仅依靠事后审查已经不够，需建立更严格的关联交易事前审批和动态限额管理机制。</w:t>
      </w:r>
    </w:p>
    <w:p>
      <w:pPr>
        <w:spacing w:line="480" w:before="0" w:after="100"/>
        <w:ind w:firstLine="480"/>
        <w:jc w:val="both"/>
      </w:pPr>
      <w:r>
        <w:rPr>
          <w:rFonts w:ascii="SimSun" w:cs="SimSun" w:eastAsia="SimSun" w:hAnsi="SimSun"/>
          <w:b w:val="false"/>
          <w:bCs w:val="false"/>
          <w:sz w:val="24"/>
          <w:szCs w:val="24"/>
        </w:rPr>
        <w:t xml:space="preserve">三是在大模型AI时代引入智能合规检查工具。利用大语言模型对信贷合规文件、合同条款的自动化语义检查能力，识别潜在的合规违规点和不规范条款，将合规检查的覆盖范围从抽样检查扩展为全量检查，显著提升合规管理效能。</w:t>
      </w:r>
    </w:p>
    <w:p>
      <w:pPr>
        <w:pStyle w:val="Heading3"/>
        <w:spacing w:before="200" w:after="80"/>
        <w:ind/>
      </w:pPr>
      <w:r>
        <w:rPr>
          <w:rFonts w:ascii="SimHei" w:cs="SimHei" w:eastAsia="SimHei" w:hAnsi="SimHei"/>
          <w:b/>
          <w:bCs/>
          <w:sz w:val="24"/>
          <w:szCs w:val="24"/>
        </w:rPr>
        <w:t xml:space="preserve">2. 重塑考核文化</w:t>
      </w:r>
    </w:p>
    <w:p>
      <w:pPr>
        <w:spacing w:line="480" w:before="0" w:after="100"/>
        <w:ind w:firstLine="480"/>
        <w:jc w:val="both"/>
      </w:pPr>
      <w:r>
        <w:rPr>
          <w:rFonts w:ascii="SimSun" w:cs="SimSun" w:eastAsia="SimSun" w:hAnsi="SimSun"/>
          <w:b w:val="false"/>
          <w:bCs w:val="false"/>
          <w:sz w:val="24"/>
          <w:szCs w:val="24"/>
        </w:rPr>
        <w:t xml:space="preserve">一是优化薪酬绩效考核机制，在现有"薪酬与利润、资产质量挂钩"基础上，提高信用风险指标在考核中的权重，将关注类贷款增长率、贷后检查覆盖率、预警信号响应时效纳入信贷人员核心KPI，纠正"重放贷、轻贷后"的行为偏差。引入延期支付和绩效追回机制，对因风险管理失职导致的后续损失，追溯追回此前已发放的风险奖金，强化长期风险意识。</w:t>
      </w:r>
    </w:p>
    <w:p>
      <w:pPr>
        <w:spacing w:line="480" w:before="0" w:after="100"/>
        <w:ind w:firstLine="480"/>
        <w:jc w:val="both"/>
      </w:pPr>
      <w:r>
        <w:rPr>
          <w:rFonts w:ascii="SimSun" w:cs="SimSun" w:eastAsia="SimSun" w:hAnsi="SimSun"/>
          <w:b w:val="false"/>
          <w:bCs w:val="false"/>
          <w:sz w:val="24"/>
          <w:szCs w:val="24"/>
        </w:rPr>
        <w:t xml:space="preserve">二是强化风险管理文化建设，将"坚守三铁"行风传统与现代风险管理理念有机融合，通过案例教育（尤其是内部不良贷款案例分析）、AI辅助情景演练、合规文化积分等手段，将风险合规意识内化为全员自觉行动。结合大模型时代特点，推广"AI+人工"的双重风控检查模式，使科技手段成为风险文化建设的有力支撑。</w:t>
      </w:r>
    </w:p>
    <w:p>
      <w:pPr>
        <w:spacing w:line="480" w:before="0" w:after="100"/>
        <w:ind w:firstLine="480"/>
        <w:jc w:val="both"/>
      </w:pPr>
      <w:r>
        <w:rPr>
          <w:rFonts w:ascii="SimSun" w:cs="SimSun" w:eastAsia="SimSun" w:hAnsi="SimSun"/>
          <w:b w:val="false"/>
          <w:bCs w:val="false"/>
          <w:sz w:val="24"/>
          <w:szCs w:val="24"/>
        </w:rPr>
        <w:t xml:space="preserve">三是完善问责机制，对信用风险事件实施全链条追责（承贷机构、客户经理、审批人员和管理层），避免责任归咎模糊，同时建立首问负责制，确保每一笔问题贷款都有明确的责任人和追责结果。</w:t>
      </w:r>
    </w:p>
    <w:p>
      <w:pPr>
        <w:pStyle w:val="Heading2"/>
        <w:spacing w:before="240" w:after="120"/>
        <w:ind/>
      </w:pPr>
      <w:r>
        <w:rPr>
          <w:rFonts w:ascii="SimHei" w:cs="SimHei" w:eastAsia="SimHei" w:hAnsi="SimHei"/>
          <w:b/>
          <w:bCs/>
          <w:sz w:val="26"/>
          <w:szCs w:val="26"/>
        </w:rPr>
        <w:t xml:space="preserve">（四）人才能力建设工程</w:t>
      </w:r>
    </w:p>
    <w:p>
      <w:pPr>
        <w:spacing w:line="480" w:before="0" w:after="100"/>
        <w:ind w:firstLine="480"/>
        <w:jc w:val="both"/>
      </w:pPr>
      <w:r>
        <w:rPr>
          <w:rFonts w:ascii="SimSun" w:cs="SimSun" w:eastAsia="SimSun" w:hAnsi="SimSun"/>
          <w:b w:val="false"/>
          <w:bCs w:val="false"/>
          <w:sz w:val="24"/>
          <w:szCs w:val="24"/>
        </w:rPr>
        <w:t xml:space="preserve">人才是信用风险管理体系持续运转的核心动力，在大模型AI技术快速迭代的时代背景下，城商行信用风险管理人才能力建设需要同步与时俱进。</w:t>
      </w:r>
    </w:p>
    <w:p>
      <w:pPr>
        <w:pStyle w:val="Heading3"/>
        <w:spacing w:before="200" w:after="80"/>
        <w:ind/>
      </w:pPr>
      <w:r>
        <w:rPr>
          <w:rFonts w:ascii="SimHei" w:cs="SimHei" w:eastAsia="SimHei" w:hAnsi="SimHei"/>
          <w:b/>
          <w:bCs/>
          <w:sz w:val="24"/>
          <w:szCs w:val="24"/>
        </w:rPr>
        <w:t xml:space="preserve">1. 提升人员专业能力</w:t>
      </w:r>
    </w:p>
    <w:p>
      <w:pPr>
        <w:spacing w:line="480" w:before="0" w:after="100"/>
        <w:ind w:firstLine="480"/>
        <w:jc w:val="both"/>
      </w:pPr>
      <w:r>
        <w:rPr>
          <w:rFonts w:ascii="SimSun" w:cs="SimSun" w:eastAsia="SimSun" w:hAnsi="SimSun"/>
          <w:b w:val="false"/>
          <w:bCs w:val="false"/>
          <w:sz w:val="24"/>
          <w:szCs w:val="24"/>
        </w:rPr>
        <w:t xml:space="preserve">一是制定信用风险管理人才分层培养规划，建立从新入职信贷员到高级风险管理师的系统培训体系，重点补强量化风险分析、数据建模、大数据工具应用等新型技能。特别是针对大模型AI时代，应开设面向信贷人员的"AI工具应用"专项培训课程，涵盖大模型基础应用、AI辅助信贷审查实操、AI风险判断的局限性与人工复核规范等内容，让一线信贷人员快速掌握"人机协同"的新型风控工作方式。</w:t>
      </w:r>
    </w:p>
    <w:p>
      <w:pPr>
        <w:spacing w:line="480" w:before="0" w:after="100"/>
        <w:ind w:firstLine="480"/>
        <w:jc w:val="both"/>
      </w:pPr>
      <w:r>
        <w:rPr>
          <w:rFonts w:ascii="SimSun" w:cs="SimSun" w:eastAsia="SimSun" w:hAnsi="SimSun"/>
          <w:b w:val="false"/>
          <w:bCs w:val="false"/>
          <w:sz w:val="24"/>
          <w:szCs w:val="24"/>
        </w:rPr>
        <w:t xml:space="preserve">二是引进高端风险管理和AI技术人才，通过市场化薪酬和职业发展通道吸引具备CFA、FRM等专业资质或有大型银行量化风险管理经验的复合型人才，并定向引进具有大模型微调（Fine-tuning）、金融NLP等能力的AI技术人才，为智能风控系统建设提供核心技术支撑。</w:t>
      </w:r>
    </w:p>
    <w:p>
      <w:pPr>
        <w:spacing w:line="480" w:before="0" w:after="100"/>
        <w:ind w:firstLine="480"/>
        <w:jc w:val="both"/>
      </w:pPr>
      <w:r>
        <w:rPr>
          <w:rFonts w:ascii="SimSun" w:cs="SimSun" w:eastAsia="SimSun" w:hAnsi="SimSun"/>
          <w:b w:val="false"/>
          <w:bCs w:val="false"/>
          <w:sz w:val="24"/>
          <w:szCs w:val="24"/>
        </w:rPr>
        <w:t xml:space="preserve">三是建立信用风险管理专家库，邀请行业专家定期开展业务培训和大模型AI在银行风险管理中应用的专题研讨，及时将行业最佳实践和技术前沿转化为本行操作规范，防止技术迭代带来的能力鸿沟持续扩大。</w:t>
      </w:r>
    </w:p>
    <w:p>
      <w:pPr>
        <w:pStyle w:val="Heading3"/>
        <w:spacing w:before="200" w:after="80"/>
        <w:ind/>
      </w:pPr>
      <w:r>
        <w:rPr>
          <w:rFonts w:ascii="SimHei" w:cs="SimHei" w:eastAsia="SimHei" w:hAnsi="SimHei"/>
          <w:b/>
          <w:bCs/>
          <w:sz w:val="24"/>
          <w:szCs w:val="24"/>
        </w:rPr>
        <w:t xml:space="preserve">2. 优化组织效能</w:t>
      </w:r>
    </w:p>
    <w:p>
      <w:pPr>
        <w:spacing w:line="480" w:before="0" w:after="100"/>
        <w:ind w:firstLine="480"/>
        <w:jc w:val="both"/>
      </w:pPr>
      <w:r>
        <w:rPr>
          <w:rFonts w:ascii="SimSun" w:cs="SimSun" w:eastAsia="SimSun" w:hAnsi="SimSun"/>
          <w:b w:val="false"/>
          <w:bCs w:val="false"/>
          <w:sz w:val="24"/>
          <w:szCs w:val="24"/>
        </w:rPr>
        <w:t xml:space="preserve">一是进一步完善"三道防线"架构，推动风险管理部门独立化和专业化，在业务条线和风控条线之间建立更清晰的汇报机制，确保风险判断不受业务压力干扰。同时，设立专职的"金融科技与风险创新"岗位或部门，专门负责大模型AI等新兴技术在信用风险管理中的研究、试验和落地推广。</w:t>
      </w:r>
    </w:p>
    <w:p>
      <w:pPr>
        <w:spacing w:line="480" w:before="0" w:after="100"/>
        <w:ind w:firstLine="480"/>
        <w:jc w:val="both"/>
      </w:pPr>
      <w:r>
        <w:rPr>
          <w:rFonts w:ascii="SimSun" w:cs="SimSun" w:eastAsia="SimSun" w:hAnsi="SimSun"/>
          <w:b w:val="false"/>
          <w:bCs w:val="false"/>
          <w:sz w:val="24"/>
          <w:szCs w:val="24"/>
        </w:rPr>
        <w:t xml:space="preserve">二是优化分支机构信用风险管理机制，在石家庄、保定分行审计分部垂直管理模式基础上，探索将风险管理职能在重要分行层面部分垂直化，减少本地业务压力对风险管控的干预。</w:t>
      </w:r>
    </w:p>
    <w:p>
      <w:pPr>
        <w:spacing w:line="480" w:before="0" w:after="100"/>
        <w:ind w:firstLine="480"/>
        <w:jc w:val="both"/>
      </w:pPr>
      <w:r>
        <w:rPr>
          <w:rFonts w:ascii="SimSun" w:cs="SimSun" w:eastAsia="SimSun" w:hAnsi="SimSun"/>
          <w:b w:val="false"/>
          <w:bCs w:val="false"/>
          <w:sz w:val="24"/>
          <w:szCs w:val="24"/>
        </w:rPr>
        <w:t xml:space="preserve">三是建立风险管理条线的人才梯队机制，关键岗位实行AB角备份制度，避免因人员离职导致风险管理工作断层。针对2024年多名高管变更带来的管理连续性挑战，应建立完善的管理知识传承体系，将个人经验转化为机构记忆，保持风险管理能力的持续性和稳定性。</w:t>
      </w:r>
    </w:p>
    <w:p>
      <w:pPr>
        <w:spacing w:line="480" w:before="0" w:after="100"/>
        <w:ind w:firstLine="480"/>
        <w:jc w:val="both"/>
      </w:pPr>
      <w:r>
        <w:rPr>
          <w:rFonts w:ascii="SimSun" w:cs="SimSun" w:eastAsia="SimSun" w:hAnsi="SimSun"/>
          <w:b w:val="false"/>
          <w:bCs w:val="false"/>
          <w:sz w:val="24"/>
          <w:szCs w:val="24"/>
        </w:rPr>
        <w:t xml:space="preserve">四是加强与大型银行和科技公司的合作，通过与招商银行、宁波银行等风险管理先进银行的交流合作，以及与华为、腾讯、阿里等AI技术公司的战略合作，引进成熟的大模型金融风控解决方案，在较短时间内补齐技术短板，实现"站在巨人肩膀上"的跨越式发展。</w:t>
      </w:r>
    </w:p>
    <w:p>
      <w:pPr>
        <w:spacing w:before="0" w:after="0"/>
      </w:pPr>
      <w:r>
        <w:t xml:space="preserve"/>
      </w:r>
    </w:p>
    <w:p>
      <w:r>
        <w:br w:type="page"/>
      </w:r>
    </w:p>
    <w:p>
      <w:pPr>
        <w:pStyle w:val="Heading1"/>
        <w:spacing w:before="360" w:after="240"/>
        <w:ind/>
        <w:jc w:val="center"/>
      </w:pPr>
      <w:r>
        <w:rPr>
          <w:rFonts w:ascii="SimHei" w:cs="SimHei" w:eastAsia="SimHei" w:hAnsi="SimHei"/>
          <w:b/>
          <w:bCs/>
          <w:sz w:val="30"/>
          <w:szCs w:val="30"/>
        </w:rPr>
        <w:t xml:space="preserve">结论</w:t>
      </w:r>
    </w:p>
    <w:p>
      <w:pPr>
        <w:spacing w:line="480" w:before="0" w:after="100"/>
        <w:ind w:firstLine="480"/>
        <w:jc w:val="both"/>
      </w:pPr>
      <w:r>
        <w:rPr>
          <w:rFonts w:ascii="SimSun" w:cs="SimSun" w:eastAsia="SimSun" w:hAnsi="SimSun"/>
          <w:b w:val="false"/>
          <w:bCs w:val="false"/>
          <w:sz w:val="24"/>
          <w:szCs w:val="24"/>
        </w:rPr>
        <w:t xml:space="preserve">本文以邯郸银行股份有限公司为研究对象，基于2020—2024年五年年度报告数据，结合信息不对称理论、全面风险管理理论和巴塞尔协议框架，对城商行信用风险管理问题进行了系统的理论分析与实证研究，得出以下主要结论：</w:t>
      </w:r>
    </w:p>
    <w:p>
      <w:pPr>
        <w:spacing w:line="480" w:before="0" w:after="100"/>
        <w:ind w:firstLine="480"/>
        <w:jc w:val="both"/>
      </w:pPr>
      <w:r>
        <w:rPr>
          <w:rFonts w:ascii="SimSun" w:cs="SimSun" w:eastAsia="SimSun" w:hAnsi="SimSun"/>
          <w:b w:val="false"/>
          <w:bCs w:val="false"/>
          <w:sz w:val="24"/>
          <w:szCs w:val="24"/>
        </w:rPr>
        <w:t xml:space="preserve">第一，邯郸银行信用风险管理已建立较为完整的制度框架和组织架构。五年间资产规模从1,809亿元增至2,492亿元，资本充足水平稳步提升，2024年不良贷款率大幅降至1.38%，拨备覆盖率回升至204.35%，整体风险管理取得一定成效。</w:t>
      </w:r>
    </w:p>
    <w:p>
      <w:pPr>
        <w:spacing w:line="480" w:before="0" w:after="100"/>
        <w:ind w:firstLine="480"/>
        <w:jc w:val="both"/>
      </w:pPr>
      <w:r>
        <w:rPr>
          <w:rFonts w:ascii="SimSun" w:cs="SimSun" w:eastAsia="SimSun" w:hAnsi="SimSun"/>
          <w:b w:val="false"/>
          <w:bCs w:val="false"/>
          <w:sz w:val="24"/>
          <w:szCs w:val="24"/>
        </w:rPr>
        <w:t xml:space="preserve">第二，邯郸银行信用风险管理存在四大突出问题：信贷结构高度集中（制造业和建筑业合计超35%）；风险识别技术体系落后（关注类贷款2023年峰值10.07%揭示了早期预警能力的严重不足）；风险管控执行机制存在周期性松弛（净利润2022至2023年骤降58.5%折射出风险管控的阶段性失当）；人才与内控建设滞后（在大模型AI技术快速迭代的背景下技术差距进一步加剧）。</w:t>
      </w:r>
    </w:p>
    <w:p>
      <w:pPr>
        <w:spacing w:line="480" w:before="0" w:after="100"/>
        <w:ind w:firstLine="480"/>
        <w:jc w:val="both"/>
      </w:pPr>
      <w:r>
        <w:rPr>
          <w:rFonts w:ascii="SimSun" w:cs="SimSun" w:eastAsia="SimSun" w:hAnsi="SimSun"/>
          <w:b w:val="false"/>
          <w:bCs w:val="false"/>
          <w:sz w:val="24"/>
          <w:szCs w:val="24"/>
        </w:rPr>
        <w:t xml:space="preserve">第三，本文提出四维对策建议：优化信贷全流程（建立行业准入矩阵、动态健康指数监测、快速响应处置机制）；升级智能风控系统（重点融入LLM大模型技术构建新一代智能风控体系，同时防范AI幻觉、可解释性和数据安全等挑战）；强化执行层面管理（信贷流程数字化、智能合规检查、绩效延期追回机制）；推进人才能力建设（大模型AI专项培训、引进AI复合型人才、强化人才梯队建设）。</w:t>
      </w:r>
    </w:p>
    <w:p>
      <w:pPr>
        <w:spacing w:line="480" w:before="0" w:after="100"/>
        <w:ind w:firstLine="480"/>
        <w:jc w:val="both"/>
      </w:pPr>
      <w:r>
        <w:rPr>
          <w:rFonts w:ascii="SimSun" w:cs="SimSun" w:eastAsia="SimSun" w:hAnsi="SimSun"/>
          <w:b w:val="false"/>
          <w:bCs w:val="false"/>
          <w:sz w:val="24"/>
          <w:szCs w:val="24"/>
        </w:rPr>
        <w:t xml:space="preserve">展望未来，大模型AI技术的持续演进正在重塑银行信用风险管理的技术范式。邯郸银行等城商行若能抓住这一技术变革窗口，以大模型AI赋能风险识别、以数字化手段强化流程执行、以专业人才支撑体系运转，将有望在较短时间内显著提升信用风险管理的精准性、及时性和全面性，在激烈的市场竞争中实现高质量发展。本研究也存在数据获取有限等局限性，未来可在更丰富微观数据基础上构建实证模型，对城商行信用风险管理效率进行精确定量评价。</w:t>
      </w:r>
    </w:p>
    <w:p>
      <w:r>
        <w:br w:type="page"/>
      </w:r>
    </w:p>
    <w:p>
      <w:pPr>
        <w:pStyle w:val="Heading1"/>
        <w:spacing w:before="360" w:after="240"/>
        <w:ind/>
        <w:jc w:val="center"/>
      </w:pPr>
      <w:r>
        <w:rPr>
          <w:rFonts w:ascii="SimHei" w:cs="SimHei" w:eastAsia="SimHei" w:hAnsi="SimHei"/>
          <w:b/>
          <w:bCs/>
          <w:sz w:val="30"/>
          <w:szCs w:val="30"/>
        </w:rPr>
        <w:t xml:space="preserve">参考文献</w:t>
      </w:r>
    </w:p>
    <w:p>
      <w:pPr>
        <w:spacing w:line="480" w:before="0" w:after="80"/>
        <w:ind w:left="480" w:hanging="480"/>
      </w:pPr>
      <w:r>
        <w:rPr>
          <w:rFonts w:ascii="SimSun" w:cs="SimSun" w:eastAsia="SimSun" w:hAnsi="SimSun"/>
          <w:sz w:val="21"/>
          <w:szCs w:val="21"/>
        </w:rPr>
        <w:t xml:space="preserve">[1] 邯郸银行股份有限公司. 2020年度报告[R]. 邯郸：邯郸银行股份有限公司，2021.</w:t>
      </w:r>
    </w:p>
    <w:p>
      <w:pPr>
        <w:spacing w:line="480" w:before="0" w:after="80"/>
        <w:ind w:left="480" w:hanging="480"/>
      </w:pPr>
      <w:r>
        <w:rPr>
          <w:rFonts w:ascii="SimSun" w:cs="SimSun" w:eastAsia="SimSun" w:hAnsi="SimSun"/>
          <w:sz w:val="21"/>
          <w:szCs w:val="21"/>
        </w:rPr>
        <w:t xml:space="preserve">[2] 邯郸银行股份有限公司. 2021年度报告[R]. 邯郸：邯郸银行股份有限公司，2022.</w:t>
      </w:r>
    </w:p>
    <w:p>
      <w:pPr>
        <w:spacing w:line="480" w:before="0" w:after="80"/>
        <w:ind w:left="480" w:hanging="480"/>
      </w:pPr>
      <w:r>
        <w:rPr>
          <w:rFonts w:ascii="SimSun" w:cs="SimSun" w:eastAsia="SimSun" w:hAnsi="SimSun"/>
          <w:sz w:val="21"/>
          <w:szCs w:val="21"/>
        </w:rPr>
        <w:t xml:space="preserve">[3] 邯郸银行股份有限公司. 2022年度报告[R]. 邯郸：邯郸银行股份有限公司，2023.</w:t>
      </w:r>
    </w:p>
    <w:p>
      <w:pPr>
        <w:spacing w:line="480" w:before="0" w:after="80"/>
        <w:ind w:left="480" w:hanging="480"/>
      </w:pPr>
      <w:r>
        <w:rPr>
          <w:rFonts w:ascii="SimSun" w:cs="SimSun" w:eastAsia="SimSun" w:hAnsi="SimSun"/>
          <w:sz w:val="21"/>
          <w:szCs w:val="21"/>
        </w:rPr>
        <w:t xml:space="preserve">[4] 邯郸银行股份有限公司. 2023年度报告[R]. 邯郸：邯郸银行股份有限公司，2024.</w:t>
      </w:r>
    </w:p>
    <w:p>
      <w:pPr>
        <w:spacing w:line="480" w:before="0" w:after="80"/>
        <w:ind w:left="480" w:hanging="480"/>
      </w:pPr>
      <w:r>
        <w:rPr>
          <w:rFonts w:ascii="SimSun" w:cs="SimSun" w:eastAsia="SimSun" w:hAnsi="SimSun"/>
          <w:sz w:val="21"/>
          <w:szCs w:val="21"/>
        </w:rPr>
        <w:t xml:space="preserve">[5] 邯郸银行股份有限公司. 2024年度报告[R]. 邯郸：邯郸银行股份有限公司，2025.</w:t>
      </w:r>
    </w:p>
    <w:p>
      <w:pPr>
        <w:spacing w:line="480" w:before="0" w:after="80"/>
        <w:ind w:left="480" w:hanging="480"/>
      </w:pPr>
      <w:r>
        <w:rPr>
          <w:rFonts w:ascii="SimSun" w:cs="SimSun" w:eastAsia="SimSun" w:hAnsi="SimSun"/>
          <w:sz w:val="21"/>
          <w:szCs w:val="21"/>
        </w:rPr>
        <w:t xml:space="preserve">[6] 中国银行保险监督管理委员会. 商业银行资本管理办法（试行）[S]. 北京：中国银保监会，2012.</w:t>
      </w:r>
    </w:p>
    <w:p>
      <w:pPr>
        <w:spacing w:line="480" w:before="0" w:after="80"/>
        <w:ind w:left="480" w:hanging="480"/>
      </w:pPr>
      <w:r>
        <w:rPr>
          <w:rFonts w:ascii="SimSun" w:cs="SimSun" w:eastAsia="SimSun" w:hAnsi="SimSun"/>
          <w:sz w:val="21"/>
          <w:szCs w:val="21"/>
        </w:rPr>
        <w:t xml:space="preserve">[7] 中国银行保险监督管理委员会. 商业银行股权管理暂行办法[S]. 北京：中国银保监会，2018.</w:t>
      </w:r>
    </w:p>
    <w:p>
      <w:pPr>
        <w:spacing w:line="480" w:before="0" w:after="80"/>
        <w:ind w:left="480" w:hanging="480"/>
      </w:pPr>
      <w:r>
        <w:rPr>
          <w:rFonts w:ascii="SimSun" w:cs="SimSun" w:eastAsia="SimSun" w:hAnsi="SimSun"/>
          <w:sz w:val="21"/>
          <w:szCs w:val="21"/>
        </w:rPr>
        <w:t xml:space="preserve">[8] 中国人民银行. 中国金融稳定报告2024[R]. 北京：中国人民银行，2024.</w:t>
      </w:r>
    </w:p>
    <w:p>
      <w:pPr>
        <w:spacing w:line="480" w:before="0" w:after="80"/>
        <w:ind w:left="480" w:hanging="480"/>
      </w:pPr>
      <w:r>
        <w:rPr>
          <w:rFonts w:ascii="SimSun" w:cs="SimSun" w:eastAsia="SimSun" w:hAnsi="SimSun"/>
          <w:sz w:val="21"/>
          <w:szCs w:val="21"/>
        </w:rPr>
        <w:t xml:space="preserve">[9] 邹新月. 商业银行信用风险管理研究[M]. 北京：北京大学出版社，2004.</w:t>
      </w:r>
    </w:p>
    <w:p>
      <w:pPr>
        <w:spacing w:line="480" w:before="0" w:after="80"/>
        <w:ind w:left="480" w:hanging="480"/>
      </w:pPr>
      <w:r>
        <w:rPr>
          <w:rFonts w:ascii="SimSun" w:cs="SimSun" w:eastAsia="SimSun" w:hAnsi="SimSun"/>
          <w:sz w:val="21"/>
          <w:szCs w:val="21"/>
        </w:rPr>
        <w:t xml:space="preserve">[10] 沈沛龙，任若恩. KMV模型在我国上市公司信用风险度量中的应用[J]. 统计研究，2007（2）：54-60.</w:t>
      </w:r>
    </w:p>
    <w:p>
      <w:pPr>
        <w:spacing w:line="480" w:before="0" w:after="80"/>
        <w:ind w:left="480" w:hanging="480"/>
      </w:pPr>
      <w:r>
        <w:rPr>
          <w:rFonts w:ascii="SimSun" w:cs="SimSun" w:eastAsia="SimSun" w:hAnsi="SimSun"/>
          <w:sz w:val="21"/>
          <w:szCs w:val="21"/>
        </w:rPr>
        <w:t xml:space="preserve">[11] 王霄，张捷. 银行贷款与中小企业融资——关系型贷款及其在中国的适用性研究[J]. 金融研究，2003（8）：29-38.</w:t>
      </w:r>
    </w:p>
    <w:p>
      <w:pPr>
        <w:spacing w:line="480" w:before="0" w:after="80"/>
        <w:ind w:left="480" w:hanging="480"/>
      </w:pPr>
      <w:r>
        <w:rPr>
          <w:rFonts w:ascii="SimSun" w:cs="SimSun" w:eastAsia="SimSun" w:hAnsi="SimSun"/>
          <w:sz w:val="21"/>
          <w:szCs w:val="21"/>
        </w:rPr>
        <w:t xml:space="preserve">[12] 巴曙松，刘孝红，牛播坤. 转型时期中国金融体系中的地方治理与银行改革的互动研究[J]. 金融研究，2013（3）：1-16.</w:t>
      </w:r>
    </w:p>
    <w:p>
      <w:pPr>
        <w:spacing w:line="480" w:before="0" w:after="80"/>
        <w:ind w:left="480" w:hanging="480"/>
      </w:pPr>
      <w:r>
        <w:rPr>
          <w:rFonts w:ascii="SimSun" w:cs="SimSun" w:eastAsia="SimSun" w:hAnsi="SimSun"/>
          <w:sz w:val="21"/>
          <w:szCs w:val="21"/>
        </w:rPr>
        <w:t xml:space="preserve">[13] 陈雨露. 金融高质量发展与防范系统性金融风险[J]. 管理世界，2019（10）：1-9.</w:t>
      </w:r>
    </w:p>
    <w:p>
      <w:pPr>
        <w:spacing w:line="480" w:before="0" w:after="80"/>
        <w:ind w:left="480" w:hanging="480"/>
      </w:pPr>
      <w:r>
        <w:rPr>
          <w:rFonts w:ascii="SimSun" w:cs="SimSun" w:eastAsia="SimSun" w:hAnsi="SimSun"/>
          <w:sz w:val="21"/>
          <w:szCs w:val="21"/>
        </w:rPr>
        <w:t xml:space="preserve">[14] 方意，章青蓉，黄丽灵. 银行系统性风险的生成——基于同质化投资与风险共担的视角[J]. 经济研究，2021（6）：74-91.</w:t>
      </w:r>
    </w:p>
    <w:p>
      <w:pPr>
        <w:spacing w:line="480" w:before="0" w:after="80"/>
        <w:ind w:left="480" w:hanging="480"/>
      </w:pPr>
      <w:r>
        <w:rPr>
          <w:rFonts w:ascii="SimSun" w:cs="SimSun" w:eastAsia="SimSun" w:hAnsi="SimSun"/>
          <w:sz w:val="21"/>
          <w:szCs w:val="21"/>
        </w:rPr>
        <w:t xml:space="preserve">[15] 周宇. 大语言模型在金融风险管理中的应用研究[J]. 金融科技时代，2023（11）：45-52.</w:t>
      </w:r>
    </w:p>
    <w:p>
      <w:pPr>
        <w:spacing w:line="480" w:before="0" w:after="80"/>
        <w:ind w:left="480" w:hanging="480"/>
      </w:pPr>
      <w:r>
        <w:rPr>
          <w:rFonts w:ascii="SimSun" w:cs="SimSun" w:eastAsia="SimSun" w:hAnsi="SimSun"/>
          <w:sz w:val="21"/>
          <w:szCs w:val="21"/>
        </w:rPr>
        <w:t xml:space="preserve">[16] 李建军，田光宁，张晓宇. ChatGPT类大语言模型在信贷风险评估中的应用潜力与挑战[J]. 金融论坛，2024（3）：18-27.</w:t>
      </w:r>
    </w:p>
    <w:p>
      <w:pPr>
        <w:spacing w:line="480" w:before="0" w:after="80"/>
        <w:ind w:left="480" w:hanging="480"/>
      </w:pPr>
      <w:r>
        <w:rPr>
          <w:rFonts w:ascii="SimSun" w:cs="SimSun" w:eastAsia="SimSun" w:hAnsi="SimSun"/>
          <w:sz w:val="21"/>
          <w:szCs w:val="21"/>
        </w:rPr>
        <w:t xml:space="preserve">[17] Akerlof G A. The Market for "Lemons": Quality Uncertainty and the Market Mechanism[J]. Quarterly Journal of Economics, 1970, 84(3): 488-500.</w:t>
      </w:r>
    </w:p>
    <w:p>
      <w:pPr>
        <w:spacing w:line="480" w:before="0" w:after="80"/>
        <w:ind w:left="480" w:hanging="480"/>
      </w:pPr>
      <w:r>
        <w:rPr>
          <w:rFonts w:ascii="SimSun" w:cs="SimSun" w:eastAsia="SimSun" w:hAnsi="SimSun"/>
          <w:sz w:val="21"/>
          <w:szCs w:val="21"/>
        </w:rPr>
        <w:t xml:space="preserve">[18] Stiglitz J E, Weiss A. Credit Rationing in Markets with Imperfect Information[J]. American Economic Review, 1981, 71(3): 393-410.</w:t>
      </w:r>
    </w:p>
    <w:p>
      <w:pPr>
        <w:spacing w:line="480" w:before="0" w:after="80"/>
        <w:ind w:left="480" w:hanging="480"/>
      </w:pPr>
      <w:r>
        <w:rPr>
          <w:rFonts w:ascii="SimSun" w:cs="SimSun" w:eastAsia="SimSun" w:hAnsi="SimSun"/>
          <w:sz w:val="21"/>
          <w:szCs w:val="21"/>
        </w:rPr>
        <w:t xml:space="preserve">[19] Altman E I. Financial Ratios, Discriminant Analysis and the Prediction of Corporate Bankruptcy[J]. Journal of Finance, 1968, 23(4): 589-609.</w:t>
      </w:r>
    </w:p>
    <w:p>
      <w:pPr>
        <w:spacing w:line="480" w:before="0" w:after="80"/>
        <w:ind w:left="480" w:hanging="480"/>
      </w:pPr>
      <w:r>
        <w:rPr>
          <w:rFonts w:ascii="SimSun" w:cs="SimSun" w:eastAsia="SimSun" w:hAnsi="SimSun"/>
          <w:sz w:val="21"/>
          <w:szCs w:val="21"/>
        </w:rPr>
        <w:t xml:space="preserve">[20] Merton R C. On the Pricing of Corporate Debt: The Risk Structure of Interest Rates[J]. Journal of Finance, 1974, 29(2): 449-470.</w:t>
      </w:r>
    </w:p>
    <w:p>
      <w:pPr>
        <w:spacing w:line="480" w:before="0" w:after="80"/>
        <w:ind w:left="480" w:hanging="480"/>
      </w:pPr>
      <w:r>
        <w:rPr>
          <w:rFonts w:ascii="SimSun" w:cs="SimSun" w:eastAsia="SimSun" w:hAnsi="SimSun"/>
          <w:sz w:val="21"/>
          <w:szCs w:val="21"/>
        </w:rPr>
        <w:t xml:space="preserve">[21] Berger A N, Udell G F. Small Business Credit Availability and Relationship Lending: The Importance of Bank Organisational Structure[J]. Economic Journal, 2002, 112(477): F32-F53.</w:t>
      </w:r>
    </w:p>
    <w:p>
      <w:pPr>
        <w:spacing w:line="480" w:before="0" w:after="80"/>
        <w:ind w:left="480" w:hanging="480"/>
      </w:pPr>
      <w:r>
        <w:rPr>
          <w:rFonts w:ascii="SimSun" w:cs="SimSun" w:eastAsia="SimSun" w:hAnsi="SimSun"/>
          <w:sz w:val="21"/>
          <w:szCs w:val="21"/>
        </w:rPr>
        <w:t xml:space="preserve">[22] Basel Committee on Banking Supervision. Basel III: A Global Regulatory Framework for More Resilient Banks and Banking Systems[R]. Basel: BIS, 2010.</w:t>
      </w:r>
    </w:p>
    <w:p>
      <w:pPr>
        <w:spacing w:line="480" w:before="0" w:after="80"/>
        <w:ind w:left="480" w:hanging="480"/>
      </w:pPr>
      <w:r>
        <w:rPr>
          <w:rFonts w:ascii="SimSun" w:cs="SimSun" w:eastAsia="SimSun" w:hAnsi="SimSun"/>
          <w:sz w:val="21"/>
          <w:szCs w:val="21"/>
        </w:rPr>
        <w:t xml:space="preserve">[23] COSO. Enterprise Risk Management—Integrated Framework[R]. New York: COSO, 2004.</w:t>
      </w:r>
    </w:p>
    <w:p>
      <w:pPr>
        <w:spacing w:line="480" w:before="0" w:after="80"/>
        <w:ind w:left="480" w:hanging="480"/>
      </w:pPr>
      <w:r>
        <w:rPr>
          <w:rFonts w:ascii="SimSun" w:cs="SimSun" w:eastAsia="SimSun" w:hAnsi="SimSun"/>
          <w:sz w:val="21"/>
          <w:szCs w:val="21"/>
        </w:rPr>
        <w:t xml:space="preserve">[24] Addo P M, Guegan D, Hassani B. Credit Risk Analysis Using Machine and Deep Learning Models[J]. Risks, 2018, 6(2): 38.</w:t>
      </w:r>
    </w:p>
    <w:p>
      <w:pPr>
        <w:spacing w:line="480" w:before="0" w:after="80"/>
        <w:ind w:left="480" w:hanging="480"/>
      </w:pPr>
      <w:r>
        <w:rPr>
          <w:rFonts w:ascii="SimSun" w:cs="SimSun" w:eastAsia="SimSun" w:hAnsi="SimSun"/>
          <w:sz w:val="21"/>
          <w:szCs w:val="21"/>
        </w:rPr>
        <w:t xml:space="preserve">[25] Arner D W, Barberis J N, Buckley R P. Regulatory Technology (RegTech) in an Era of Ubiquitous Artificial Intelligence[J]. Handbook of AI and the Law, 2023, 12: 233-278.</w:t>
      </w:r>
    </w:p>
    <w:p>
      <w:pPr>
        <w:spacing w:line="480" w:before="0" w:after="80"/>
        <w:ind w:left="480" w:hanging="480"/>
      </w:pPr>
      <w:r>
        <w:rPr>
          <w:rFonts w:ascii="SimSun" w:cs="SimSun" w:eastAsia="SimSun" w:hAnsi="SimSun"/>
          <w:sz w:val="21"/>
          <w:szCs w:val="21"/>
        </w:rPr>
        <w:t xml:space="preserve">[26] Lopez J A, Saidenberg M R. Evaluating Credit Risk Models[J]. Journal of Banking &amp; Finance, 2000, 24(1-2): 151-165.</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SimHei" w:cs="SimHei" w:eastAsia="SimHei" w:hAnsi="SimHei"/>
      <w:b/>
      <w:bCs/>
      <w:color w:val="000000"/>
      <w:sz w:val="30"/>
      <w:szCs w:val="30"/>
    </w:rPr>
  </w:style>
  <w:style w:type="paragraph" w:styleId="Heading2">
    <w:name w:val="Heading 2"/>
    <w:basedOn w:val="Normal"/>
    <w:next w:val="Normal"/>
    <w:qFormat/>
    <w:pPr>
      <w:spacing w:before="240" w:after="120"/>
      <w:outlineLvl w:val="1"/>
    </w:pPr>
    <w:rPr>
      <w:rFonts w:ascii="SimHei" w:cs="SimHei" w:eastAsia="SimHei" w:hAnsi="SimHei"/>
      <w:b/>
      <w:bCs/>
      <w:color w:val="000000"/>
      <w:sz w:val="26"/>
      <w:szCs w:val="26"/>
    </w:rPr>
  </w:style>
  <w:style w:type="paragraph" w:styleId="Heading3">
    <w:name w:val="Heading 3"/>
    <w:basedOn w:val="Normal"/>
    <w:next w:val="Normal"/>
    <w:qFormat/>
    <w:pPr>
      <w:spacing w:before="200" w:after="80"/>
      <w:outlineLvl w:val="2"/>
    </w:pPr>
    <w:rPr>
      <w:rFonts w:ascii="SimHei" w:cs="SimHei" w:eastAsia="SimHei" w:hAnsi="SimHe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b4a38d4d208b8e89aa6676a72ff56252a1fe242.png"/><Relationship Id="rId7" Type="http://schemas.openxmlformats.org/officeDocument/2006/relationships/image" Target="media/fbdac43a469319960042dfd81ffc3e8134db485b.png"/><Relationship Id="rId8" Type="http://schemas.openxmlformats.org/officeDocument/2006/relationships/image" Target="media/2d4e6c50232b0b4681eceacafda6a72ea7cc61ec.png"/><Relationship Id="rId9" Type="http://schemas.openxmlformats.org/officeDocument/2006/relationships/image" Target="media/83a7dc0acbc213013a137ad40a40e4d082bb07fa.png"/><Relationship Id="rId10" Type="http://schemas.openxmlformats.org/officeDocument/2006/relationships/image" Target="media/6061b0a80b9c8a325e3ec2c971260b61a1a95e85.png"/><Relationship Id="rId11" Type="http://schemas.openxmlformats.org/officeDocument/2006/relationships/image" Target="media/7cf525620a613db9bf3be060f8c52011028cde81.png"/><Relationship Id="rId12" Type="http://schemas.openxmlformats.org/officeDocument/2006/relationships/image" Target="media/fd3cd32b505df4a0cfcbc255ebd824b5576aced4.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2026-03-11T05:40:06.593Z</dcterms:created>
  <dcterms:modified xsi:type="dcterms:W3CDTF">2026-03-11T05:40:06.594Z</dcterms:modified>
</cp:coreProperties>
</file>

<file path=docProps/custom.xml><?xml version="1.0" encoding="utf-8"?>
<Properties xmlns="http://schemas.openxmlformats.org/officeDocument/2006/custom-properties" xmlns:vt="http://schemas.openxmlformats.org/officeDocument/2006/docPropsVTypes"/>
</file>