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110.jpg" ContentType="image/jpeg"/>
  <Override PartName="/word/media/rId114.jpg" ContentType="image/jpeg"/>
  <Override PartName="/word/media/rId10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шаблона сценария для NS-2.</w:t>
      </w:r>
    </w:p>
    <w:p>
      <w:pPr>
        <w:numPr>
          <w:ilvl w:val="0"/>
          <w:numId w:val="1001"/>
        </w:numPr>
        <w:pStyle w:val="Compact"/>
      </w:pPr>
      <w:r>
        <w:t xml:space="preserve">Выполнение примера описания топологии сети, состоящей из двух узлов и одного соединения.</w:t>
      </w:r>
    </w:p>
    <w:p>
      <w:pPr>
        <w:numPr>
          <w:ilvl w:val="0"/>
          <w:numId w:val="1001"/>
        </w:numPr>
        <w:pStyle w:val="Compact"/>
      </w:pPr>
      <w:r>
        <w:t xml:space="preserve">Выполнение примера описания с усложнённой топологией сети.</w:t>
      </w:r>
    </w:p>
    <w:p>
      <w:pPr>
        <w:numPr>
          <w:ilvl w:val="0"/>
          <w:numId w:val="1001"/>
        </w:numPr>
        <w:pStyle w:val="Compact"/>
      </w:pPr>
      <w:r>
        <w:t xml:space="preserve">Выполнение примера с кольцевой топологией сети</w:t>
      </w:r>
    </w:p>
    <w:p>
      <w:pPr>
        <w:numPr>
          <w:ilvl w:val="0"/>
          <w:numId w:val="1001"/>
        </w:numPr>
        <w:pStyle w:val="Compact"/>
      </w:pPr>
      <w:r>
        <w:t xml:space="preserve">Выполнение упражнения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Создание шаблона сценария для NS-2.</w:t>
      </w:r>
      <w:r>
        <w:t xml:space="preserve"> </w:t>
      </w:r>
      <w:r>
        <w:t xml:space="preserve">В своём рабочем каталоге создаем директорию mip, в которой будут выполняться лабораторные работы. Внутри mip создаем директорию lab-ns, а в ней файл shablon.tcl: (рис. 1).</w:t>
      </w:r>
    </w:p>
    <w:p>
      <w:pPr>
        <w:pStyle w:val="CaptionedFigure"/>
      </w:pPr>
      <w:bookmarkStart w:id="25" w:name="fig:001"/>
      <w:r>
        <w:drawing>
          <wp:inline>
            <wp:extent cx="3155950" cy="457200"/>
            <wp:effectExtent b="0" l="0" r="0" t="0"/>
            <wp:docPr descr="Рис. 1: Создание необходимых директорий и файл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необходимых директорий и файла</w:t>
      </w:r>
    </w:p>
    <w:p>
      <w:pPr>
        <w:pStyle w:val="BodyText"/>
      </w:pPr>
      <w:r>
        <w:t xml:space="preserve">Откроем на редактирование файл shablon.tcl.</w:t>
      </w:r>
      <w:r>
        <w:t xml:space="preserve"> </w:t>
      </w:r>
      <w:r>
        <w:t xml:space="preserve">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Наконец, с помощью команды at указываем планировщику событий, что процедуру finish следует запустить через 5 с после начала моделирования, после чего</w:t>
      </w:r>
      <w:r>
        <w:t xml:space="preserve"> </w:t>
      </w:r>
      <w:r>
        <w:t xml:space="preserve">запустить симулятор ns. Полный текст шаблона представлен на скриншоте (рис. 2).</w:t>
      </w:r>
    </w:p>
    <w:p>
      <w:pPr>
        <w:pStyle w:val="CaptionedFigure"/>
      </w:pPr>
      <w:bookmarkStart w:id="29" w:name="fig:002"/>
      <w:r>
        <w:drawing>
          <wp:inline>
            <wp:extent cx="3409950" cy="3657600"/>
            <wp:effectExtent b="0" l="0" r="0" t="0"/>
            <wp:docPr descr="Рис. 2: Скрипт для шаблона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Скрипт для шаблона</w:t>
      </w:r>
    </w:p>
    <w:p>
      <w:pPr>
        <w:pStyle w:val="BodyText"/>
      </w:pPr>
      <w:r>
        <w:t xml:space="preserve">Сохранив изменения в отредактированном файле shablon.tcl и закрыв его, запускаем симулятор. Получившийся шаблон можно использовать в дальнейшем в большинстве разрабатываемых скриптов NS-2, добавляя в него до строки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описание объектов и действий моделируемой системы (рис. 3).</w:t>
      </w:r>
    </w:p>
    <w:p>
      <w:pPr>
        <w:pStyle w:val="CaptionedFigure"/>
      </w:pPr>
      <w:bookmarkStart w:id="33" w:name="fig:003"/>
      <w:r>
        <w:drawing>
          <wp:inline>
            <wp:extent cx="5334000" cy="4183307"/>
            <wp:effectExtent b="0" l="0" r="0" t="0"/>
            <wp:docPr descr="Рис. 3: Запуск симулятор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Запуск симулятора</w:t>
      </w:r>
    </w:p>
    <w:p>
      <w:pPr>
        <w:numPr>
          <w:ilvl w:val="0"/>
          <w:numId w:val="1003"/>
        </w:numPr>
        <w:pStyle w:val="Compact"/>
      </w:pPr>
      <w:r>
        <w:t xml:space="preserve">Выполнение примера описания топологии сети, состоящей из двух узлов и одного соединения.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  <w:r>
        <w:t xml:space="preserve">. Требуется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 example1.tcl (рис. 4).</w:t>
      </w:r>
    </w:p>
    <w:p>
      <w:pPr>
        <w:pStyle w:val="CaptionedFigure"/>
      </w:pPr>
      <w:bookmarkStart w:id="37" w:name="fig:004"/>
      <w:r>
        <w:drawing>
          <wp:inline>
            <wp:extent cx="3695700" cy="457200"/>
            <wp:effectExtent b="0" l="0" r="0" t="0"/>
            <wp:docPr descr="Рис. 4: Копирование шаблона в файл example1.tcl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Копирование шаблона в файл example1.tcl</w:t>
      </w:r>
    </w:p>
    <w:p>
      <w:pPr>
        <w:pStyle w:val="BodyText"/>
      </w:pPr>
      <w:r>
        <w:t xml:space="preserve">Откроем example1.tcl на редактирование. Добавим в него до строки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описание топологии сети. Создадим агент UDP и присоединим к узлу n0. В узле агент сам не может 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</w:t>
      </w:r>
      <w:r>
        <w:t xml:space="preserve"> </w:t>
      </w:r>
      <w:r>
        <w:t xml:space="preserve">источник с постоянной скоростью (Constant Bit Rate, CBR), который каждые 5 мс</w:t>
      </w:r>
      <w:r>
        <w:t xml:space="preserve"> </w:t>
      </w:r>
      <w:r>
        <w:t xml:space="preserve">посылает пакет R = 500 байт. Таким образом, скорость источника: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500</m:t>
              </m:r>
              <m:r>
                <m:rPr>
                  <m:sty m:val="p"/>
                </m:rPr>
                <m:t>⋅</m:t>
              </m:r>
              <m:r>
                <m:t>8</m:t>
              </m:r>
            </m:num>
            <m:den>
              <m:r>
                <m:t>0.005</m:t>
              </m:r>
            </m:den>
          </m:f>
          <m:r>
            <m:rPr>
              <m:sty m:val="p"/>
            </m:rPr>
            <m:t>=</m:t>
          </m:r>
          <m:r>
            <m:t>800000</m:t>
          </m:r>
          <m:r>
            <m:rPr>
              <m:nor/>
              <m:sty m:val="p"/>
            </m:rPr>
            <m:t> бит/с</m:t>
          </m:r>
        </m:oMath>
      </m:oMathPara>
    </w:p>
    <w:p>
      <w:pPr>
        <w:pStyle w:val="FirstParagraph"/>
      </w:pPr>
      <w:r>
        <w:t xml:space="preserve">Cоздадим Null-агент, который работает как приёмник трафика, и прикрепим</w:t>
      </w:r>
      <w:r>
        <w:t xml:space="preserve"> </w:t>
      </w:r>
      <w:r>
        <w:t xml:space="preserve">его к узлу n1, после чего соединим агенты между собой. Для запуска и остановки приложения CBR добавим at-события в планировщик событий (перед командой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) (рис. 5).</w:t>
      </w:r>
    </w:p>
    <w:p>
      <w:pPr>
        <w:pStyle w:val="CaptionedFigure"/>
      </w:pPr>
      <w:bookmarkStart w:id="41" w:name="fig:005"/>
      <w:r>
        <w:drawing>
          <wp:inline>
            <wp:extent cx="3206750" cy="5137150"/>
            <wp:effectExtent b="0" l="0" r="0" t="0"/>
            <wp:docPr descr="Рис. 5: Скрипт для описания топологии сети, состоящей из двух узлов и одного соединения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513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Скрипт для описания топологии сети, состоящей из двух узлов и одного соединения</w:t>
      </w:r>
    </w:p>
    <w:p>
      <w:pPr>
        <w:pStyle w:val="BodyText"/>
      </w:pPr>
      <w:r>
        <w:t xml:space="preserve">Сохраним изменения в отредактированном файле и запустим симулятор. Получим в качестве результата запуск аниматора nam в фоновом режиме. При нажатии на кнопку play в окне nam через 0.5 секунды из узла 0 данные начнут поступать к узлу 1. (рис. 6).</w:t>
      </w:r>
    </w:p>
    <w:p>
      <w:pPr>
        <w:pStyle w:val="CaptionedFigure"/>
      </w:pPr>
      <w:bookmarkStart w:id="45" w:name="fig:006"/>
      <w:r>
        <w:drawing>
          <wp:inline>
            <wp:extent cx="3054350" cy="3155950"/>
            <wp:effectExtent b="0" l="0" r="0" t="0"/>
            <wp:docPr descr="Рис. 6: Анимация сети, состоящей из двух узлов и одного соединения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Анимация сети, состоящей из двух узлов и одного соединения</w:t>
      </w:r>
    </w:p>
    <w:p>
      <w:pPr>
        <w:pStyle w:val="BodyText"/>
      </w:pPr>
      <w:r>
        <w:t xml:space="preserve">Этот процесс можно замедлить, выбирая шаг отображения в nam. Можно осуществлять наблюдение за отдельным пакетом, щёлкнув по нему в окне nam, а щёлкнув по соединению, можно получить о нем некоторую информацию (рис. 7).</w:t>
      </w:r>
    </w:p>
    <w:p>
      <w:pPr>
        <w:pStyle w:val="CaptionedFigure"/>
      </w:pPr>
      <w:bookmarkStart w:id="49" w:name="fig:007"/>
      <w:r>
        <w:drawing>
          <wp:inline>
            <wp:extent cx="3060700" cy="3054350"/>
            <wp:effectExtent b="0" l="0" r="0" t="0"/>
            <wp:docPr descr="Рис. 7: Наблюдение за отдельным пакетом в аниматоре nam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Наблюдение за отдельным пакетом в аниматоре nam</w:t>
      </w:r>
    </w:p>
    <w:p>
      <w:pPr>
        <w:numPr>
          <w:ilvl w:val="0"/>
          <w:numId w:val="1004"/>
        </w:numPr>
        <w:pStyle w:val="Compact"/>
      </w:pPr>
      <w:r>
        <w:t xml:space="preserve">Выполнение примера описания с усложнённой топологией сети.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  <w:r>
        <w:t xml:space="preserve">. Описание моделируемой сети (рис. 2.4):</w:t>
      </w:r>
      <w:r>
        <w:t xml:space="preserve"> </w:t>
      </w:r>
      <w:r>
        <w:t xml:space="preserve">- сеть состоит из 4 узлов (n0, n1, n2, n3);</w:t>
      </w:r>
      <w:r>
        <w:t xml:space="preserve"> </w:t>
      </w:r>
      <w:r>
        <w:t xml:space="preserve">- 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  <w:r>
        <w:t xml:space="preserve"> </w:t>
      </w:r>
      <w:r>
        <w:t xml:space="preserve">- между узлами n2 и n3 установлено дуплексное соединение с пропускной способностью 1,7 Мбит/с и задержкой 20 мс;</w:t>
      </w:r>
      <w:r>
        <w:t xml:space="preserve"> </w:t>
      </w:r>
      <w:r>
        <w:t xml:space="preserve">- 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  <w:r>
        <w:t xml:space="preserve"> </w:t>
      </w:r>
      <w:r>
        <w:t xml:space="preserve">- 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генерировать, равняется 1KByte)</w:t>
      </w:r>
      <w:r>
        <w:t xml:space="preserve"> </w:t>
      </w:r>
      <w:r>
        <w:t xml:space="preserve">- TCP-приёмник генерирует и отправляет ACK пакеты отправителю и откидывает</w:t>
      </w:r>
      <w:r>
        <w:t xml:space="preserve"> </w:t>
      </w:r>
      <w:r>
        <w:t xml:space="preserve">полученные пакеты;</w:t>
      </w:r>
      <w:r>
        <w:t xml:space="preserve"> </w:t>
      </w:r>
      <w:r>
        <w:t xml:space="preserve">- 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  <w:r>
        <w:t xml:space="preserve"> </w:t>
      </w:r>
      <w:r>
        <w:t xml:space="preserve">- генераторы трафика ftp и cbr прикреплены к TCP и UDP агентам соответственно;</w:t>
      </w:r>
      <w:r>
        <w:t xml:space="preserve"> </w:t>
      </w:r>
      <w:r>
        <w:t xml:space="preserve">- генератор cbr генерирует пакеты размером 1 Кбайт со скоростью 1 Мбит/с;</w:t>
      </w:r>
      <w:r>
        <w:t xml:space="preserve"> </w:t>
      </w:r>
      <w:r>
        <w:t xml:space="preserve">- работа cbr начинается в 0,1 секунду и прекращается в 4,5 секунды, а ftp начинает</w:t>
      </w:r>
      <w:r>
        <w:t xml:space="preserve"> </w:t>
      </w:r>
      <w:r>
        <w:t xml:space="preserve">работать в 1,0 секунду и прекращает в 4,0 секунды.</w:t>
      </w:r>
    </w:p>
    <w:p>
      <w:pPr>
        <w:pStyle w:val="BodyText"/>
      </w:pPr>
      <w:r>
        <w:t xml:space="preserve">Скопируем содержимое созданного шаблона в новый файл example2.tcl (рис. 8).</w:t>
      </w:r>
    </w:p>
    <w:p>
      <w:pPr>
        <w:pStyle w:val="CaptionedFigure"/>
      </w:pPr>
      <w:bookmarkStart w:id="53" w:name="fig:008"/>
      <w:r>
        <w:drawing>
          <wp:inline>
            <wp:extent cx="5334000" cy="3760922"/>
            <wp:effectExtent b="0" l="0" r="0" t="0"/>
            <wp:docPr descr="Рис. 8: Копирование шаблона в файл example2.tcl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Копирование шаблона в файл example2.tcl</w:t>
      </w:r>
    </w:p>
    <w:p>
      <w:pPr>
        <w:pStyle w:val="BodyText"/>
      </w:pPr>
      <w:r>
        <w:t xml:space="preserve">Откроем example2.tcl на редактирование. Создадим 4 узла и 3 дуплексных соединения с указанием направления:(рис. 9).</w:t>
      </w:r>
    </w:p>
    <w:p>
      <w:pPr>
        <w:pStyle w:val="CaptionedFigure"/>
      </w:pPr>
      <w:bookmarkStart w:id="57" w:name="fig:009"/>
      <w:r>
        <w:drawing>
          <wp:inline>
            <wp:extent cx="3276600" cy="1308100"/>
            <wp:effectExtent b="0" l="0" r="0" t="0"/>
            <wp:docPr descr="Рис. 9: Создание 4-х узлов и 3-х дуплексных соединения с указанием направления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4-х узлов и 3-х дуплексных соединения с указанием направления</w:t>
      </w:r>
    </w:p>
    <w:p>
      <w:pPr>
        <w:pStyle w:val="BodyText"/>
      </w:pPr>
      <w:r>
        <w:t xml:space="preserve">Создадим агент UDP с прикреплённым к нему источником CBR и агент TCP с прикреплённым к нему приложением FTP: (рис. 10).</w:t>
      </w:r>
    </w:p>
    <w:p>
      <w:pPr>
        <w:pStyle w:val="CaptionedFigure"/>
      </w:pPr>
      <w:bookmarkStart w:id="61" w:name="fig:010"/>
      <w:r>
        <w:drawing>
          <wp:inline>
            <wp:extent cx="2857500" cy="2159000"/>
            <wp:effectExtent b="0" l="0" r="0" t="0"/>
            <wp:docPr descr="Рис. 10: Создание агента UDP с прикреплённым к нему источником CBR и агента TCP с прикреплённым к нему приложением FTP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агента UDP с прикреплённым к нему источником CBR и агента TCP с прикреплённым к нему приложением FTP</w:t>
      </w:r>
    </w:p>
    <w:p>
      <w:pPr>
        <w:pStyle w:val="BodyText"/>
      </w:pPr>
      <w:r>
        <w:t xml:space="preserve">Создадим агенты-получатели. Соединим агенты udp0 и tcp1 и их получателей (рис. 11).</w:t>
      </w:r>
    </w:p>
    <w:p>
      <w:pPr>
        <w:pStyle w:val="CaptionedFigure"/>
      </w:pPr>
      <w:bookmarkStart w:id="65" w:name="fig:011"/>
      <w:r>
        <w:drawing>
          <wp:inline>
            <wp:extent cx="2038350" cy="1117600"/>
            <wp:effectExtent b="0" l="0" r="0" t="0"/>
            <wp:docPr descr="Рис. 11: Создание агентов-получателей. Соединение агентов udp0 и tcp1 и их получателей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Создание агентов-получателей. Соединение агентов udp0 и tcp1 и их получателей</w:t>
      </w:r>
    </w:p>
    <w:p>
      <w:pPr>
        <w:pStyle w:val="BodyText"/>
      </w:pPr>
      <w:r>
        <w:t xml:space="preserve">Зададим описание цвета каждого потока. Добавим отслеживание событий в очереди и наложение ограничения на размер очереди: (рис. 12).</w:t>
      </w:r>
    </w:p>
    <w:p>
      <w:pPr>
        <w:pStyle w:val="CaptionedFigure"/>
      </w:pPr>
      <w:bookmarkStart w:id="69" w:name="fig:012"/>
      <w:r>
        <w:drawing>
          <wp:inline>
            <wp:extent cx="2349500" cy="977900"/>
            <wp:effectExtent b="0" l="0" r="0" t="0"/>
            <wp:docPr descr="Рис. 12: Задание цвета потока. Отслеживание событий в очереди и наложение ограничения на размер очереди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Задание цвета потока. Отслеживание событий в очереди и наложение ограничения на размер очереди</w:t>
      </w:r>
    </w:p>
    <w:p>
      <w:pPr>
        <w:pStyle w:val="BodyText"/>
      </w:pPr>
      <w:r>
        <w:t xml:space="preserve">Добавим at-события: (рис. 13).</w:t>
      </w:r>
    </w:p>
    <w:p>
      <w:pPr>
        <w:pStyle w:val="CaptionedFigure"/>
      </w:pPr>
      <w:bookmarkStart w:id="73" w:name="fig:013"/>
      <w:r>
        <w:drawing>
          <wp:inline>
            <wp:extent cx="1593850" cy="603250"/>
            <wp:effectExtent b="0" l="0" r="0" t="0"/>
            <wp:docPr descr="Рис. 13: Добавление at-событий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Добавление at-событий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моделирования. При запуске скрипта можно заметить, что по соединениям между узлами n(0)–n(2) и n(1)–n(2) к узлу n(2) передаётся данных больше, чем способно передаваться по соединению от узла n(2) к узлу n(3). Действительно, мы передаём 200 пакетов в секунду от каждого источника данных в узлах n(0) и n(1), а каждый пакет имеет</w:t>
      </w:r>
      <w:r>
        <w:t xml:space="preserve"> </w:t>
      </w:r>
      <w:r>
        <w:t xml:space="preserve">размер 500 байт. Таким образом, полоса каждого соединения 0, 8 Mb, а суммарная</w:t>
      </w:r>
      <w:r>
        <w:t xml:space="preserve"> </w:t>
      </w:r>
      <w:r>
        <w:t xml:space="preserve">— 1, 6 Mb. Но соединение n(2)–n(3) имеет полосу лишь 1 Mb. Следовательно, часть</w:t>
      </w:r>
      <w:r>
        <w:t xml:space="preserve"> </w:t>
      </w:r>
      <w:r>
        <w:t xml:space="preserve">пакетов должна теряться. В окне аниматора можно видеть пакеты в очереди, а также</w:t>
      </w:r>
      <w:r>
        <w:t xml:space="preserve"> </w:t>
      </w:r>
      <w:r>
        <w:t xml:space="preserve">те пакеты, которые отбрасываются при переполнении. (рис. 14).</w:t>
      </w:r>
    </w:p>
    <w:p>
      <w:pPr>
        <w:pStyle w:val="CaptionedFigure"/>
      </w:pPr>
      <w:bookmarkStart w:id="77" w:name="fig:014"/>
      <w:r>
        <w:drawing>
          <wp:inline>
            <wp:extent cx="5334000" cy="4139097"/>
            <wp:effectExtent b="0" l="0" r="0" t="0"/>
            <wp:docPr descr="Рис. 14: Запуск анимации сети с усложненной топологией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Запуск анимации сети с усложненной топологией</w:t>
      </w:r>
    </w:p>
    <w:p>
      <w:pPr>
        <w:numPr>
          <w:ilvl w:val="0"/>
          <w:numId w:val="1005"/>
        </w:numPr>
        <w:pStyle w:val="Compact"/>
      </w:pPr>
      <w:r>
        <w:t xml:space="preserve">Выполнение примера с кольцевой топологией сети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  <w:r>
        <w:t xml:space="preserve">. Требуется построить модель передачи данных по сети с кольцевой топологией и динамической маршрутизацией пакетов:</w:t>
      </w:r>
      <w:r>
        <w:t xml:space="preserve"> </w:t>
      </w:r>
      <w:r>
        <w:t xml:space="preserve">- сеть состоит из 7 узлов, соединённых в кольцо;</w:t>
      </w:r>
      <w:r>
        <w:t xml:space="preserve"> </w:t>
      </w:r>
      <w:r>
        <w:t xml:space="preserve">- данные передаются от узла n(0) к узлу n(3) по кратчайшему пути;</w:t>
      </w:r>
      <w:r>
        <w:t xml:space="preserve"> </w:t>
      </w:r>
      <w:r>
        <w:t xml:space="preserve">- с 1 по 2 секунду модельного времени происходит разрыв соединения между</w:t>
      </w:r>
      <w:r>
        <w:t xml:space="preserve"> </w:t>
      </w:r>
      <w:r>
        <w:t xml:space="preserve">узлами n(1) и n(2);</w:t>
      </w:r>
      <w:r>
        <w:t xml:space="preserve"> </w:t>
      </w:r>
      <w:r>
        <w:t xml:space="preserve">- при разрыве соединения маршрут передачи данных должен измениться на резервный.</w:t>
      </w:r>
    </w:p>
    <w:p>
      <w:pPr>
        <w:pStyle w:val="BodyText"/>
      </w:pPr>
      <w:r>
        <w:t xml:space="preserve">Скопируем содержимое созданного шаблона в новый файл example3.tcl (рис. 15).</w:t>
      </w:r>
    </w:p>
    <w:p>
      <w:pPr>
        <w:pStyle w:val="CaptionedFigure"/>
      </w:pPr>
      <w:bookmarkStart w:id="81" w:name="fig:015"/>
      <w:r>
        <w:drawing>
          <wp:inline>
            <wp:extent cx="5334000" cy="3788002"/>
            <wp:effectExtent b="0" l="0" r="0" t="0"/>
            <wp:docPr descr="Рис. 15: Копирование шаблона в файл example3.tcl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Копирование шаблона в файл example3.tcl</w:t>
      </w:r>
    </w:p>
    <w:p>
      <w:pPr>
        <w:pStyle w:val="BodyText"/>
      </w:pPr>
      <w:r>
        <w:t xml:space="preserve">Откроем example3.tcl на редактирование. Опишем топологию моделируемой сети. Далее соединим узлы так, чтобы создать круговую топологию (рис. 16).</w:t>
      </w:r>
    </w:p>
    <w:p>
      <w:pPr>
        <w:pStyle w:val="CaptionedFigure"/>
      </w:pPr>
      <w:bookmarkStart w:id="85" w:name="fig:016"/>
      <w:r>
        <w:drawing>
          <wp:inline>
            <wp:extent cx="3441700" cy="933450"/>
            <wp:effectExtent b="0" l="0" r="0" t="0"/>
            <wp:docPr descr="Рис. 16: Создание круговой топологии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Создание круговой топологии</w:t>
      </w:r>
    </w:p>
    <w:p>
      <w:pPr>
        <w:pStyle w:val="BodyText"/>
      </w:pPr>
      <w:r>
        <w:t xml:space="preserve">Каждый узел, за исключением последнего, соединяется со следующим, последний соединяется с первым. Для этого в цикле используем оператор %, означающий остаток от деления нацело.</w:t>
      </w:r>
      <w:r>
        <w:t xml:space="preserve"> </w:t>
      </w:r>
      <w:r>
        <w:t xml:space="preserve">Зададим передачу данных от узла n(0) к узлу n(3). Добавим команду разрыва соединения между узлами n(1) и n(2) на время в одну секунду, а также время начала и окончания передачи данных: (рис. 17).</w:t>
      </w:r>
    </w:p>
    <w:p>
      <w:pPr>
        <w:pStyle w:val="CaptionedFigure"/>
      </w:pPr>
      <w:bookmarkStart w:id="89" w:name="fig:017"/>
      <w:r>
        <w:drawing>
          <wp:inline>
            <wp:extent cx="2032000" cy="2019300"/>
            <wp:effectExtent b="0" l="0" r="0" t="0"/>
            <wp:docPr descr="Рис. 17: Задание узлов, между которыми будут передаваться данные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Задание узлов, между которыми будут передаваться данные</w:t>
      </w:r>
    </w:p>
    <w:p>
      <w:pPr>
        <w:pStyle w:val="BodyText"/>
      </w:pPr>
      <w:r>
        <w:t xml:space="preserve">Запустим анимацию созданный кольцевой сети. Данные передаются по кратчайшему маршруту от узла n(0) к узлу n(3), через узлы n(1) и n(2) (рис. 18).</w:t>
      </w:r>
    </w:p>
    <w:p>
      <w:pPr>
        <w:pStyle w:val="CaptionedFigure"/>
      </w:pPr>
      <w:bookmarkStart w:id="93" w:name="fig:018"/>
      <w:r>
        <w:drawing>
          <wp:inline>
            <wp:extent cx="5334000" cy="4764244"/>
            <wp:effectExtent b="0" l="0" r="0" t="0"/>
            <wp:docPr descr="Рис. 18: Анимация круговой топологии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Анимация круговой топологии</w:t>
      </w:r>
    </w:p>
    <w:p>
      <w:pPr>
        <w:pStyle w:val="BodyText"/>
      </w:pPr>
      <w:r>
        <w:t xml:space="preserve">В заданный промежуток времени происходит разрыв цепи. Некоторые данные теряются (рис. 19).</w:t>
      </w:r>
    </w:p>
    <w:p>
      <w:pPr>
        <w:pStyle w:val="CaptionedFigure"/>
      </w:pPr>
      <w:bookmarkStart w:id="97" w:name="fig:019"/>
      <w:r>
        <w:drawing>
          <wp:inline>
            <wp:extent cx="5334000" cy="4616687"/>
            <wp:effectExtent b="0" l="0" r="0" t="0"/>
            <wp:docPr descr="Рис. 19: Анимация круговой топологии с разрывом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Анимация круговой топологии с разрывом</w:t>
      </w:r>
    </w:p>
    <w:p>
      <w:pPr>
        <w:pStyle w:val="BodyText"/>
      </w:pPr>
      <w:r>
        <w:t xml:space="preserve">Добавим в начало скрипта после команды создания объекта Simulator строчку</w:t>
      </w:r>
      <w:r>
        <w:t xml:space="preserve"> </w:t>
      </w:r>
      <w:r>
        <w:rPr>
          <w:rStyle w:val="VerbatimChar"/>
        </w:rPr>
        <w:t xml:space="preserve">$ns rtproto DV</w:t>
      </w:r>
      <w:r>
        <w:t xml:space="preserve"> </w:t>
      </w:r>
      <w:r>
        <w:t xml:space="preserve">(рис. 20).</w:t>
      </w:r>
    </w:p>
    <w:p>
      <w:pPr>
        <w:pStyle w:val="CaptionedFigure"/>
      </w:pPr>
      <w:bookmarkStart w:id="101" w:name="fig:020"/>
      <w:r>
        <w:drawing>
          <wp:inline>
            <wp:extent cx="3606800" cy="3378200"/>
            <wp:effectExtent b="0" l="0" r="0" t="0"/>
            <wp:docPr descr="Рис. 20: Добавление строчки для выбора оптимального пути после разрыва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Добавление строчки для выбора оптимального пути после разрыва</w:t>
      </w:r>
    </w:p>
    <w:p>
      <w:pPr>
        <w:pStyle w:val="BodyText"/>
      </w:pPr>
      <w:r>
        <w:t xml:space="preserve">Увидим, что сразу после запуска в сети отправляется небольшое количество</w:t>
      </w:r>
      <w:r>
        <w:t xml:space="preserve"> </w:t>
      </w:r>
      <w:r>
        <w:t xml:space="preserve">маленьких пакетов, используемых для обмена информацией, необходимой для маршрутизации между узлами. Когда соединение будет разорвано, информация</w:t>
      </w:r>
      <w:r>
        <w:t xml:space="preserve"> </w:t>
      </w:r>
      <w:r>
        <w:t xml:space="preserve">о топологии будет обновлена, и пакеты будут отсылаться по новому маршруту через</w:t>
      </w:r>
      <w:r>
        <w:t xml:space="preserve"> </w:t>
      </w:r>
      <w:r>
        <w:t xml:space="preserve">узлы n(6), n(5) и n(4) (рис. 21).</w:t>
      </w:r>
    </w:p>
    <w:p>
      <w:pPr>
        <w:pStyle w:val="CaptionedFigure"/>
      </w:pPr>
      <w:bookmarkStart w:id="105" w:name="fig:021"/>
      <w:r>
        <w:drawing>
          <wp:inline>
            <wp:extent cx="5334000" cy="4776231"/>
            <wp:effectExtent b="0" l="0" r="0" t="0"/>
            <wp:docPr descr="Рис. 21: Анимация выбора оптимального пути после разрыва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6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Анимация выбора оптимального пути после разрыва</w:t>
      </w:r>
    </w:p>
    <w:p>
      <w:pPr>
        <w:numPr>
          <w:ilvl w:val="0"/>
          <w:numId w:val="1006"/>
        </w:numPr>
        <w:pStyle w:val="Compact"/>
      </w:pPr>
      <w:r>
        <w:t xml:space="preserve">Выполнение упражнения</w:t>
      </w:r>
    </w:p>
    <w:p>
      <w:pPr>
        <w:pStyle w:val="FirstParagraph"/>
      </w:pPr>
      <w:r>
        <w:rPr>
          <w:bCs/>
          <w:b/>
        </w:rPr>
        <w:t xml:space="preserve">Постановка задачи</w:t>
      </w:r>
      <w:r>
        <w:t xml:space="preserve"> </w:t>
      </w:r>
      <w:r>
        <w:t xml:space="preserve">Внесите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  <w:r>
        <w:t xml:space="preserve"> </w:t>
      </w:r>
      <w:r>
        <w:t xml:space="preserve">- топология сети должна соответствовать представленной на рисунке в тексте описания ЛР.</w:t>
      </w:r>
      <w:r>
        <w:t xml:space="preserve"> </w:t>
      </w:r>
      <w:r>
        <w:t xml:space="preserve">- передача данных должна осуществляться от узла n(0) до узла n(5) по кратчайшему пути в течение 5 секунд модельного времени;</w:t>
      </w:r>
      <w:r>
        <w:t xml:space="preserve"> </w:t>
      </w:r>
      <w:r>
        <w:t xml:space="preserve">- передача данных должна идти по протоколу TCP (тип Newreno), на принимающей стороне используется TCPSink-объект типа DelAck; поверх TCP работает протокол FTP с 0,5 до 4,5 секунд модельного времени;</w:t>
      </w:r>
      <w:r>
        <w:t xml:space="preserve"> </w:t>
      </w:r>
      <w:r>
        <w:t xml:space="preserve">- с 1 по 2 секунду модельного времени происходит разрыв соединения между узлами n(0) и n(1);</w:t>
      </w:r>
      <w:r>
        <w:t xml:space="preserve"> </w:t>
      </w:r>
      <w:r>
        <w:t xml:space="preserve">- 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p>
      <w:pPr>
        <w:pStyle w:val="BodyText"/>
      </w:pPr>
      <w:r>
        <w:t xml:space="preserve">Скопируем шаблон сценария в новый файл example4.tcl. Откроем файл на редактирование. По условию упражнения создадим 5 узлов. Соединим из кольцевой связью. Соединим узлы n5 и n1. Везде будем использовать дуплексную линию связи с полосой пропускания 1 Мб/с и задержкой 10 мс, очередью с обслуживанием типа DropTail. Создадим агента TCP и свяжем его с узлом n(0). Создадим приложение FTP и соединим его с агентом TCP. Создадим агента получателя, зададим время работы FTP и время разрыва (рис. 22).</w:t>
      </w:r>
    </w:p>
    <w:p>
      <w:pPr>
        <w:pStyle w:val="CaptionedFigure"/>
      </w:pPr>
      <w:bookmarkStart w:id="109" w:name="fig:022"/>
      <w:r>
        <w:drawing>
          <wp:inline>
            <wp:extent cx="3454400" cy="4692650"/>
            <wp:effectExtent b="0" l="0" r="0" t="0"/>
            <wp:docPr descr="Рис. 22: Скрипт для реализации упражнения" title="" id="107" name="Picture"/>
            <a:graphic>
              <a:graphicData uri="http://schemas.openxmlformats.org/drawingml/2006/picture">
                <pic:pic>
                  <pic:nvPicPr>
                    <pic:cNvPr descr="image/24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69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Скрипт для реализации упражнения</w:t>
      </w:r>
    </w:p>
    <w:p>
      <w:pPr>
        <w:pStyle w:val="BodyText"/>
      </w:pPr>
      <w:r>
        <w:t xml:space="preserve">Запустим анимацию созданной цепи. В момент времени 0.5 начинается передача пакетов от узла n(0) к узлу n5. Передаются данные по протоколу TCP, в обратном направлении отправляются Ack сигнал, который означет, что данные успешно получены (рис. 23).</w:t>
      </w:r>
    </w:p>
    <w:p>
      <w:pPr>
        <w:pStyle w:val="CaptionedFigure"/>
      </w:pPr>
      <w:bookmarkStart w:id="113" w:name="fig:023"/>
      <w:r>
        <w:drawing>
          <wp:inline>
            <wp:extent cx="5334000" cy="4895735"/>
            <wp:effectExtent b="0" l="0" r="0" t="0"/>
            <wp:docPr descr="Рис. 23: Анимация скрипта, написанного в рамках упражения" title="" id="111" name="Picture"/>
            <a:graphic>
              <a:graphicData uri="http://schemas.openxmlformats.org/drawingml/2006/picture">
                <pic:pic>
                  <pic:nvPicPr>
                    <pic:cNvPr descr="image/22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Анимация скрипта, написанного в рамках упражения</w:t>
      </w:r>
    </w:p>
    <w:p>
      <w:pPr>
        <w:pStyle w:val="BodyText"/>
      </w:pPr>
      <w:r>
        <w:t xml:space="preserve">Далее с 1 до 2 секунды происходит разрыв соединения между узлами n(0) и n(1). Теперь данные отправляются по ближайшему возможному маршруту через узлы n(4), n(3) и n(2) (рис. 24).</w:t>
      </w:r>
    </w:p>
    <w:p>
      <w:pPr>
        <w:pStyle w:val="CaptionedFigure"/>
      </w:pPr>
      <w:bookmarkStart w:id="117" w:name="fig:024"/>
      <w:r>
        <w:drawing>
          <wp:inline>
            <wp:extent cx="5334000" cy="4901080"/>
            <wp:effectExtent b="0" l="0" r="0" t="0"/>
            <wp:docPr descr="Рис. 24: Анимация скрипта, написанного в рамках упражения" title="" id="115" name="Picture"/>
            <a:graphic>
              <a:graphicData uri="http://schemas.openxmlformats.org/drawingml/2006/picture">
                <pic:pic>
                  <pic:nvPicPr>
                    <pic:cNvPr descr="image/23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Анимация скрипта, написанного в рамках упражения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моделирования сетей передачи данных с помощью средства имитационного моделирования NS-2, а также провела анализ полученных результатов моделирования.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06" Target="media/rId10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Астраханцева А. А.</dc:creator>
  <dc:language>ru-RU</dc:language>
  <cp:keywords/>
  <dcterms:created xsi:type="dcterms:W3CDTF">2025-02-13T19:27:00Z</dcterms:created>
  <dcterms:modified xsi:type="dcterms:W3CDTF">2025-02-13T19:27:00Z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Простые модели компьютерной сети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