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2.jpg" ContentType="image/jpeg"/>
  <Override PartName="/word/media/rId56.jpg" ContentType="image/jpeg"/>
  <Override PartName="/word/media/rId60.jpg" ContentType="image/jpeg"/>
  <Override PartName="/word/media/rId64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35.jpg" ContentType="image/jpeg"/>
  <Override PartName="/word/media/rId27.jpg" ContentType="image/jpeg"/>
  <Override PartName="/word/media/rId31.jpg" ContentType="image/jpeg"/>
  <Override PartName="/word/media/rId39.jpg" ContentType="image/jpeg"/>
  <Override PartName="/word/media/rId43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«хищник–жертва»</w:t>
      </w:r>
    </w:p>
    <w:p>
      <w:pPr>
        <w:pStyle w:val="Author"/>
      </w:pPr>
      <w:r>
        <w:t xml:space="preserve">Астраханцева</w:t>
      </w:r>
      <w:r>
        <w:t xml:space="preserve"> </w:t>
      </w:r>
      <w:r>
        <w:t xml:space="preserve">А.</w:t>
      </w:r>
      <w:r>
        <w:t xml:space="preserve"> </w:t>
      </w:r>
      <w:r>
        <w:t xml:space="preserve">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«хищник–жертва» с помощью средства имитационного моделирования Scilab, xcos и языка 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в xcos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с помощью блока Modelica в xcos;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в OpenModelica (упражнение).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 межвидовой конкуренции. В математической форме модель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жертв;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количество хищников;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— коэффициенты, отражающие взаимодействия между видами: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коэффициент рождаемости жертв;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коэффициент убыли жертв;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коэффициент рождения хищников;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 коэффициент убыли хищников.</w:t>
      </w:r>
    </w:p>
    <w:bookmarkEnd w:id="22"/>
    <w:bookmarkStart w:id="47" w:name="реализация-модели-в-xc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Откроем окно Scilab, далее - инструменты - визуальное программирование xcos.</w:t>
      </w:r>
      <w:r>
        <w:t xml:space="preserve"> </w:t>
      </w:r>
      <w:r>
        <w:t xml:space="preserve">Зафиксируем начальные данные: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В меню</w:t>
      </w:r>
      <w:r>
        <w:t xml:space="preserve"> </w:t>
      </w:r>
      <w:r>
        <w:t xml:space="preserve">“</w:t>
      </w:r>
      <w:r>
        <w:t xml:space="preserve">Моделирование -&gt; Задать переменные окружения</w:t>
      </w:r>
      <w:r>
        <w:t xml:space="preserve">”</w:t>
      </w:r>
      <w:r>
        <w:t xml:space="preserve"> </w:t>
      </w:r>
      <w:r>
        <w:t xml:space="preserve">зададим значения переменных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,</m:t>
        </m:r>
        <m:r>
          <m:t> </m:t>
        </m:r>
        <m:r>
          <m:t>d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bookmarkStart w:id="26" w:name="fig:001"/>
      <w:r>
        <w:drawing>
          <wp:inline>
            <wp:extent cx="2997200" cy="1987550"/>
            <wp:effectExtent b="0" l="0" r="0" t="0"/>
            <wp:docPr descr="Рис. 1: Значения переменных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Значения переменных</w:t>
      </w:r>
    </w:p>
    <w:p>
      <w:pPr>
        <w:pStyle w:val="BodyText"/>
      </w:pPr>
      <w:r>
        <w:t xml:space="preserve">Разместим блоки интегрирования - INTEGRAL_m: В параметрах блоков интегрирования необходимо задать начальные значения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(рис. 2 - 3).</w:t>
      </w:r>
    </w:p>
    <w:p>
      <w:pPr>
        <w:pStyle w:val="CaptionedFigure"/>
      </w:pPr>
      <w:bookmarkStart w:id="30" w:name="fig:002"/>
      <w:r>
        <w:drawing>
          <wp:inline>
            <wp:extent cx="2781300" cy="1873250"/>
            <wp:effectExtent b="0" l="0" r="0" t="0"/>
            <wp:docPr descr="Рис. 2: Настройки для первого блока интегрирования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Настройки для первого блока интегрирования</w:t>
      </w:r>
    </w:p>
    <w:p>
      <w:pPr>
        <w:pStyle w:val="CaptionedFigure"/>
      </w:pPr>
      <w:bookmarkStart w:id="34" w:name="fig:003"/>
      <w:r>
        <w:drawing>
          <wp:inline>
            <wp:extent cx="2844800" cy="1955800"/>
            <wp:effectExtent b="0" l="0" r="0" t="0"/>
            <wp:docPr descr="Рис. 3: Настройки для второго блока интегрирования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Настройки для второго блока интегрирования</w:t>
      </w:r>
    </w:p>
    <w:p>
      <w:pPr>
        <w:pStyle w:val="BodyText"/>
      </w:pPr>
      <w:r>
        <w:t xml:space="preserve">В меню</w:t>
      </w:r>
      <w:r>
        <w:t xml:space="preserve"> </w:t>
      </w:r>
      <w:r>
        <w:t xml:space="preserve">“</w:t>
      </w:r>
      <w:r>
        <w:t xml:space="preserve">Моделирование -&gt; Установка</w:t>
      </w:r>
      <w:r>
        <w:t xml:space="preserve">”</w:t>
      </w:r>
      <w:r>
        <w:t xml:space="preserve"> </w:t>
      </w:r>
      <w:r>
        <w:t xml:space="preserve">необходимо задать конечное время интегрирования, равным времени моделирования (в данном случае 30). Для регистрирующего устройства - блока CSCOPE - устанавливаем максимальное и минимальное значение по оси Oy [0;10]. Получаем такую схему (рис. 4).</w:t>
      </w:r>
    </w:p>
    <w:p>
      <w:pPr>
        <w:pStyle w:val="CaptionedFigure"/>
      </w:pPr>
      <w:bookmarkStart w:id="38" w:name="fig:004"/>
      <w:r>
        <w:drawing>
          <wp:inline>
            <wp:extent cx="5334000" cy="2984748"/>
            <wp:effectExtent b="0" l="0" r="0" t="0"/>
            <wp:docPr descr="Рис. 4: Итоговый вид схемы" title="" id="36" name="Picture"/>
            <a:graphic>
              <a:graphicData uri="http://schemas.openxmlformats.org/drawingml/2006/picture">
                <pic:pic>
                  <pic:nvPicPr>
                    <pic:cNvPr descr="image/2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4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Итоговый вид схемы</w:t>
      </w:r>
    </w:p>
    <w:p>
      <w:pPr>
        <w:pStyle w:val="BodyText"/>
      </w:pPr>
      <w:r>
        <w:t xml:space="preserve">Динамика изменения численности хищников и жертв модели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(рис. 5).</w:t>
      </w:r>
    </w:p>
    <w:p>
      <w:pPr>
        <w:pStyle w:val="CaptionedFigure"/>
      </w:pPr>
      <w:bookmarkStart w:id="42" w:name="fig:005"/>
      <w:r>
        <w:drawing>
          <wp:inline>
            <wp:extent cx="3600450" cy="1873250"/>
            <wp:effectExtent b="0" l="0" r="0" t="0"/>
            <wp:docPr descr="Рис. 5: Динамика изменения численности хищников и жертв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Динамика изменения численности хищников и жертв</w:t>
      </w:r>
    </w:p>
    <w:p>
      <w:pPr>
        <w:pStyle w:val="BodyText"/>
      </w:pPr>
      <w:r>
        <w:t xml:space="preserve">Также мы получили изображение фазового портрета (рис. 6).</w:t>
      </w:r>
    </w:p>
    <w:p>
      <w:pPr>
        <w:pStyle w:val="CaptionedFigure"/>
      </w:pPr>
      <w:bookmarkStart w:id="46" w:name="fig:006"/>
      <w:r>
        <w:drawing>
          <wp:inline>
            <wp:extent cx="3917950" cy="2609850"/>
            <wp:effectExtent b="0" l="0" r="0" t="0"/>
            <wp:docPr descr="Рис. 6: Фазовый портрет модели" title="" id="44" name="Picture"/>
            <a:graphic>
              <a:graphicData uri="http://schemas.openxmlformats.org/drawingml/2006/picture">
                <pic:pic>
                  <pic:nvPicPr>
                    <pic:cNvPr descr="image/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Фазовый портрет модели</w:t>
      </w:r>
    </w:p>
    <w:bookmarkEnd w:id="47"/>
    <w:bookmarkStart w:id="68" w:name="Xc74dd668ac23d6a60fba7c4075c313bf91fa0ca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модели с помощью языка Modelica потребуются следующие блоки xcos: CLOCK_c, CSCOPE, CSCOPXY, TEXT_f, MUX, CONST_m и MBLOCK (Modelica generic). Как и ранее, задаём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(см. рис. 1). Готовая модель «хищник–жертва» представлена на (рис. 9).</w:t>
      </w:r>
      <w:r>
        <w:t xml:space="preserve"> </w:t>
      </w:r>
      <w:r>
        <w:t xml:space="preserve">Параметры блока Modelica представлены на (рис. 7). Переменные на входе (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) и выходе (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) блока заданы как внешние (</w:t>
      </w:r>
      <m:oMath>
        <m:r>
          <m:t>E</m:t>
        </m:r>
      </m:oMath>
      <w:r>
        <w:t xml:space="preserve">).</w:t>
      </w:r>
    </w:p>
    <w:p>
      <w:pPr>
        <w:pStyle w:val="CaptionedFigure"/>
      </w:pPr>
      <w:bookmarkStart w:id="51" w:name="fig:008"/>
      <w:r>
        <w:drawing>
          <wp:inline>
            <wp:extent cx="2400300" cy="2266950"/>
            <wp:effectExtent b="0" l="0" r="0" t="0"/>
            <wp:docPr descr="Рис. 7: Параметры блока Modelica" title="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Параметры блока Modelica</w:t>
      </w:r>
    </w:p>
    <w:p>
      <w:pPr>
        <w:pStyle w:val="BodyText"/>
      </w:pPr>
      <w:r>
        <w:t xml:space="preserve">Код на языке Modelica: (рис. 8)</w:t>
      </w:r>
    </w:p>
    <w:p>
      <w:pPr>
        <w:pStyle w:val="SourceCode"/>
      </w:pPr>
      <w:r>
        <w:rPr>
          <w:rStyle w:val="VerbatimChar"/>
        </w:rPr>
        <w:t xml:space="preserve">class generic</w:t>
      </w:r>
      <w:r>
        <w:br/>
      </w:r>
      <w:r>
        <w:rPr>
          <w:rStyle w:val="VerbatimChar"/>
        </w:rPr>
        <w:t xml:space="preserve">////automatically generated ////</w:t>
      </w:r>
      <w:r>
        <w:br/>
      </w:r>
      <w:r>
        <w:rPr>
          <w:rStyle w:val="VerbatimChar"/>
        </w:rPr>
        <w:t xml:space="preserve">//input variables</w:t>
      </w:r>
      <w:r>
        <w:br/>
      </w:r>
      <w:r>
        <w:rPr>
          <w:rStyle w:val="VerbatimChar"/>
        </w:rPr>
        <w:t xml:space="preserve">Real a,b,c,d;</w:t>
      </w:r>
      <w:r>
        <w:br/>
      </w:r>
      <w:r>
        <w:rPr>
          <w:rStyle w:val="VerbatimChar"/>
        </w:rPr>
        <w:t xml:space="preserve">//output variables</w:t>
      </w:r>
      <w:r>
        <w:br/>
      </w:r>
      <w:r>
        <w:rPr>
          <w:rStyle w:val="VerbatimChar"/>
        </w:rPr>
        <w:t xml:space="preserve">// Real x,y;</w:t>
      </w:r>
      <w:r>
        <w:br/>
      </w:r>
      <w:r>
        <w:rPr>
          <w:rStyle w:val="VerbatimChar"/>
        </w:rPr>
        <w:t xml:space="preserve">////do not modif above this line ////</w:t>
      </w:r>
      <w:r>
        <w:br/>
      </w:r>
      <w:r>
        <w:rPr>
          <w:rStyle w:val="VerbatimChar"/>
        </w:rPr>
        <w:t xml:space="preserve">Real x(start=2), y(start=1);</w:t>
      </w:r>
      <w:r>
        <w:br/>
      </w:r>
      <w:r>
        <w:rPr>
          <w:rStyle w:val="VerbatimChar"/>
        </w:rPr>
        <w:t xml:space="preserve">// Модель хищник-жертва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der(x)=a*x-b*x*y;</w:t>
      </w:r>
      <w:r>
        <w:br/>
      </w:r>
      <w:r>
        <w:rPr>
          <w:rStyle w:val="VerbatimChar"/>
        </w:rPr>
        <w:t xml:space="preserve">der(y)=c*x*y-d*y;</w:t>
      </w:r>
      <w:r>
        <w:br/>
      </w:r>
      <w:r>
        <w:rPr>
          <w:rStyle w:val="VerbatimChar"/>
        </w:rPr>
        <w:t xml:space="preserve">end generic;</w:t>
      </w:r>
    </w:p>
    <w:p>
      <w:pPr>
        <w:pStyle w:val="CaptionedFigure"/>
      </w:pPr>
      <w:bookmarkStart w:id="55" w:name="fig:009"/>
      <w:r>
        <w:drawing>
          <wp:inline>
            <wp:extent cx="2432050" cy="2336800"/>
            <wp:effectExtent b="0" l="0" r="0" t="0"/>
            <wp:docPr descr="Рис. 8: Код для блока Modelica" title="" id="53" name="Picture"/>
            <a:graphic>
              <a:graphicData uri="http://schemas.openxmlformats.org/drawingml/2006/picture">
                <pic:pic>
                  <pic:nvPicPr>
                    <pic:cNvPr descr="image/1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Код для блока Modelica</w:t>
      </w:r>
    </w:p>
    <w:p>
      <w:pPr>
        <w:pStyle w:val="BodyText"/>
      </w:pPr>
      <w:r>
        <w:t xml:space="preserve">Получаем такую схему (рис. 9).</w:t>
      </w:r>
    </w:p>
    <w:p>
      <w:pPr>
        <w:pStyle w:val="CaptionedFigure"/>
      </w:pPr>
      <w:bookmarkStart w:id="59" w:name="fig:007"/>
      <w:r>
        <w:drawing>
          <wp:inline>
            <wp:extent cx="4870450" cy="3454400"/>
            <wp:effectExtent b="0" l="0" r="0" t="0"/>
            <wp:docPr descr="Рис. 9: Итоговый вид схемы" title="" id="57" name="Picture"/>
            <a:graphic>
              <a:graphicData uri="http://schemas.openxmlformats.org/drawingml/2006/picture">
                <pic:pic>
                  <pic:nvPicPr>
                    <pic:cNvPr descr="image/11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Итоговый вид схемы</w:t>
      </w:r>
    </w:p>
    <w:p>
      <w:pPr>
        <w:pStyle w:val="BodyText"/>
      </w:pPr>
      <w:r>
        <w:t xml:space="preserve">При запуске симуляции рисуется график изменения численности хищников и жертв (рис. 10).</w:t>
      </w:r>
    </w:p>
    <w:p>
      <w:pPr>
        <w:pStyle w:val="CaptionedFigure"/>
      </w:pPr>
      <w:bookmarkStart w:id="63" w:name="fig:010"/>
      <w:r>
        <w:drawing>
          <wp:inline>
            <wp:extent cx="5334000" cy="2306320"/>
            <wp:effectExtent b="0" l="0" r="0" t="0"/>
            <wp:docPr descr="Рис. 10: График изменения численности хищников и жертв" title="" id="61" name="Picture"/>
            <a:graphic>
              <a:graphicData uri="http://schemas.openxmlformats.org/drawingml/2006/picture">
                <pic:pic>
                  <pic:nvPicPr>
                    <pic:cNvPr descr="image/12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График изменения численности хищников и жертв</w:t>
      </w:r>
    </w:p>
    <w:p>
      <w:pPr>
        <w:pStyle w:val="BodyText"/>
      </w:pPr>
      <w:r>
        <w:t xml:space="preserve">Изображение фазового портрета представлено на рис. 11.</w:t>
      </w:r>
    </w:p>
    <w:p>
      <w:pPr>
        <w:pStyle w:val="CaptionedFigure"/>
      </w:pPr>
      <w:bookmarkStart w:id="67" w:name="fig:011"/>
      <w:r>
        <w:drawing>
          <wp:inline>
            <wp:extent cx="5334000" cy="2183488"/>
            <wp:effectExtent b="0" l="0" r="0" t="0"/>
            <wp:docPr descr="Рис. 11: Фазовый портрет модели" title="" id="65" name="Picture"/>
            <a:graphic>
              <a:graphicData uri="http://schemas.openxmlformats.org/drawingml/2006/picture">
                <pic:pic>
                  <pic:nvPicPr>
                    <pic:cNvPr descr="image/13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3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Фазовый портрет модели</w:t>
      </w:r>
    </w:p>
    <w:bookmarkEnd w:id="68"/>
    <w:bookmarkStart w:id="81" w:name="реализация-модели-в-openmodelica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Реализация модели на языке OpenModelica (рис. 12).</w:t>
      </w:r>
    </w:p>
    <w:p>
      <w:pPr>
        <w:pStyle w:val="CaptionedFigure"/>
      </w:pPr>
      <w:bookmarkStart w:id="72" w:name="fig:012"/>
      <w:r>
        <w:drawing>
          <wp:inline>
            <wp:extent cx="2222500" cy="1758950"/>
            <wp:effectExtent b="0" l="0" r="0" t="0"/>
            <wp:docPr descr="Рис. 12: Реализация модели в OpenModelica" title="" id="70" name="Picture"/>
            <a:graphic>
              <a:graphicData uri="http://schemas.openxmlformats.org/drawingml/2006/picture">
                <pic:pic>
                  <pic:nvPicPr>
                    <pic:cNvPr descr="image/14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Реализация модели в OpenModelica</w:t>
      </w:r>
    </w:p>
    <w:p>
      <w:pPr>
        <w:pStyle w:val="BodyText"/>
      </w:pPr>
      <w:r>
        <w:t xml:space="preserve">При запуске симуляции рисуется график изменения численности хищников и жертв (рис. 13).</w:t>
      </w:r>
    </w:p>
    <w:p>
      <w:pPr>
        <w:pStyle w:val="CaptionedFigure"/>
      </w:pPr>
      <w:bookmarkStart w:id="76" w:name="fig:013"/>
      <w:r>
        <w:drawing>
          <wp:inline>
            <wp:extent cx="5334000" cy="1391478"/>
            <wp:effectExtent b="0" l="0" r="0" t="0"/>
            <wp:docPr descr="Рис. 13: График изменения численности хищников и жертв в OpenModelica" title="" id="74" name="Picture"/>
            <a:graphic>
              <a:graphicData uri="http://schemas.openxmlformats.org/drawingml/2006/picture">
                <pic:pic>
                  <pic:nvPicPr>
                    <pic:cNvPr descr="image/15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1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График изменения численности хищников и жертв в OpenModelica</w:t>
      </w:r>
    </w:p>
    <w:p>
      <w:pPr>
        <w:pStyle w:val="BodyText"/>
      </w:pPr>
      <w:r>
        <w:t xml:space="preserve">Изображение фазового портрета представлено на рис. 14.</w:t>
      </w:r>
    </w:p>
    <w:p>
      <w:pPr>
        <w:pStyle w:val="CaptionedFigure"/>
      </w:pPr>
      <w:bookmarkStart w:id="80" w:name="fig:014"/>
      <w:r>
        <w:drawing>
          <wp:inline>
            <wp:extent cx="5334000" cy="1527859"/>
            <wp:effectExtent b="0" l="0" r="0" t="0"/>
            <wp:docPr descr="Рис. 14: Фазовый портрет модели в OpenModelica" title="" id="78" name="Picture"/>
            <a:graphic>
              <a:graphicData uri="http://schemas.openxmlformats.org/drawingml/2006/picture">
                <pic:pic>
                  <pic:nvPicPr>
                    <pic:cNvPr descr="image/16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7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Фазовый портрет модели в OpenModelica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реализовала модель «хищник–жертва» с помощью средства имитационного моделирования Scilab, xcos и языка Modelica.</w:t>
      </w:r>
    </w:p>
    <w:bookmarkEnd w:id="82"/>
    <w:bookmarkStart w:id="8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Королькова А.В., Кулябов Д.С. Руководство к лабораторной работе №6. Моделирование информационных процессов. Модель «хищник–жертва» - 2025. — 5 с.</w:t>
      </w:r>
    </w:p>
    <w:bookmarkStart w:id="83" w:name="refs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2" Target="media/rId52.jpg" /><Relationship Type="http://schemas.openxmlformats.org/officeDocument/2006/relationships/image" Id="rId56" Target="media/rId56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35" Target="media/rId35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Астраханцева А. А.</dc:creator>
  <dc:language>ru-RU</dc:language>
  <cp:keywords/>
  <dcterms:created xsi:type="dcterms:W3CDTF">2025-03-15T10:26:45Z</dcterms:created>
  <dcterms:modified xsi:type="dcterms:W3CDTF">2025-03-15T10:26:45Z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Модель «хищник–жертва»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