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3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с помощью средства имитационного моделирования Scilab, xcos.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в xcos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Теория массового обслуживания (или теория очередей) является разделом теории вероятностей, целью которого является изучение и оптимизация систем массового обслуживания (СМО). СМО представляют собой модели, в которых заявки поступают в систему, где они обслуживаются в соответствии с определенной дисциплиной. Одной из наиболее простых и широко используемых моделей СМО является система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, где:</w:t>
      </w:r>
    </w:p>
    <w:p>
      <w:pPr>
        <w:pStyle w:val="BodyText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: Означает, что заявки поступают в систему по пуассоновскому потоку (</w:t>
      </w:r>
      <m:oMath>
        <m:r>
          <m:t>M</m:t>
        </m:r>
      </m:oMath>
      <w:r>
        <w:t xml:space="preserve">), обслуживаются одним сервером (</w:t>
      </w:r>
      <m:oMath>
        <m:r>
          <m:t>1</m:t>
        </m:r>
      </m:oMath>
      <w:r>
        <w:t xml:space="preserve">), а время обслуживания также распределено по экспоненциальному закону (</w:t>
      </w:r>
      <m:oMath>
        <m:r>
          <m:t>M</m:t>
        </m:r>
      </m:oMath>
      <w:r>
        <w:t xml:space="preserve">).</w:t>
      </w:r>
    </w:p>
    <w:p>
      <w:pPr>
        <w:pStyle w:val="BodyText"/>
      </w:pPr>
      <m:oMath>
        <m:r>
          <m:rPr>
            <m:sty m:val="p"/>
          </m:rPr>
          <m:t>∞</m:t>
        </m:r>
      </m:oMath>
      <w:r>
        <w:t xml:space="preserve">: Указывает на то, что в системе нет ограничений на количество заявок, которые могут находиться в очереди.</w:t>
      </w:r>
    </w:p>
    <w:p>
      <w:pPr>
        <w:pStyle w:val="BodyText"/>
      </w:pPr>
      <w:r>
        <w:t xml:space="preserve">Эта модель часто используется для анализа различных характеристик СМО, таких как среднее время ожидания, среднее время пребывания в системе и вероятность наличия заявок в очереди. В лабораторной работе мы будем использовать программное обеспечение xcos для моделирования и анализа поведения системы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 Это позволит нам наглядно продемонстрировать основные принципы теории массового обслуживания и оценить эффективность системы при различных условиях [2],[3].</w:t>
      </w:r>
    </w:p>
    <w:bookmarkEnd w:id="22"/>
    <w:bookmarkStart w:id="47" w:name="реализация-модели-в-xc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Откроем окно Scilab, далее - инструменты - визуальное программирование xcos.</w:t>
      </w:r>
      <w:r>
        <w:t xml:space="preserve"> </w:t>
      </w: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</w:t>
      </w:r>
      <w:r>
        <w:t xml:space="preserve"> </w:t>
      </w:r>
      <w:r>
        <w:t xml:space="preserve">“</w:t>
      </w:r>
      <w:r>
        <w:t xml:space="preserve">Моделирование -&gt; Задать переменные окружения</w:t>
      </w:r>
      <w:r>
        <w:t xml:space="preserve">”</w:t>
      </w:r>
      <w:r>
        <w:t xml:space="preserve"> </w:t>
      </w:r>
      <w:r>
        <w:t xml:space="preserve">зададим значения переменных</w:t>
      </w:r>
      <w:r>
        <w:t xml:space="preserve"> </w:t>
      </w:r>
      <m:oMath>
        <m:r>
          <m:t>λ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6" w:name="fig:001"/>
      <w:r>
        <w:drawing>
          <wp:inline>
            <wp:extent cx="3067050" cy="1873250"/>
            <wp:effectExtent b="0" l="0" r="0" t="0"/>
            <wp:docPr descr="Рис. 1: Значения переменных" title="" id="24" name="Picture"/>
            <a:graphic>
              <a:graphicData uri="http://schemas.openxmlformats.org/drawingml/2006/picture">
                <pic:pic>
                  <pic:nvPicPr>
                    <pic:cNvPr descr="image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Значения переменных</w:t>
      </w:r>
    </w:p>
    <w:p>
      <w:pPr>
        <w:pStyle w:val="BodyText"/>
      </w:pPr>
      <w:r>
        <w:t xml:space="preserve">Суперблок, моделирующий процесс поступления заявок, представлен на рис 2.</w:t>
      </w:r>
    </w:p>
    <w:p>
      <w:pPr>
        <w:pStyle w:val="CaptionedFigure"/>
      </w:pPr>
      <w:bookmarkStart w:id="30" w:name="fig:002"/>
      <w:r>
        <w:drawing>
          <wp:inline>
            <wp:extent cx="3746500" cy="1879600"/>
            <wp:effectExtent b="0" l="0" r="0" t="0"/>
            <wp:docPr descr="Рис. 2: Суперблок поступления заявок" title="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Суперблок поступления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рис 3.</w:t>
      </w:r>
    </w:p>
    <w:p>
      <w:pPr>
        <w:pStyle w:val="CaptionedFigure"/>
      </w:pPr>
      <w:bookmarkStart w:id="34" w:name="fig:003"/>
      <w:r>
        <w:drawing>
          <wp:inline>
            <wp:extent cx="4032250" cy="3721100"/>
            <wp:effectExtent b="0" l="0" r="0" t="0"/>
            <wp:docPr descr="Рис. 3: Суперблок обработки заявок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Суперблок обработки заявок</w:t>
      </w:r>
    </w:p>
    <w:p>
      <w:pPr>
        <w:pStyle w:val="BodyText"/>
      </w:pPr>
      <w:r>
        <w:t xml:space="preserve">Готовая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рис.4.</w:t>
      </w:r>
    </w:p>
    <w:p>
      <w:pPr>
        <w:pStyle w:val="CaptionedFigure"/>
      </w:pPr>
      <w:bookmarkStart w:id="38" w:name="fig:004"/>
      <w:r>
        <w:drawing>
          <wp:inline>
            <wp:extent cx="4794250" cy="3568700"/>
            <wp:effectExtent b="0" l="0" r="0" t="0"/>
            <wp:docPr descr="Рис. 4: Модель M|M|1|\infty в xcos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рис. 5 и 6.</w:t>
      </w:r>
    </w:p>
    <w:p>
      <w:pPr>
        <w:pStyle w:val="CaptionedFigure"/>
      </w:pPr>
      <w:bookmarkStart w:id="42" w:name="fig:005"/>
      <w:r>
        <w:drawing>
          <wp:inline>
            <wp:extent cx="5334000" cy="2252440"/>
            <wp:effectExtent b="0" l="0" r="0" t="0"/>
            <wp:docPr descr="Рис. 5: Динамика размера очереди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Динамика размера очереди</w:t>
      </w:r>
    </w:p>
    <w:p>
      <w:pPr>
        <w:pStyle w:val="CaptionedFigure"/>
      </w:pPr>
      <w:bookmarkStart w:id="46" w:name="fig:006"/>
      <w:r>
        <w:drawing>
          <wp:inline>
            <wp:extent cx="5334000" cy="2312547"/>
            <wp:effectExtent b="0" l="0" r="0" t="0"/>
            <wp:docPr descr="Рис. 6: Поступление (голубой) и обработка (зеленый) заявок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Поступление (голубой) и обработка (зеленый) заявок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реализовала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с помощью средства имитационного моделирования Scilab, xcos.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Королькова А.В., Кулябов Д.С. Руководство к лабораторной работе №7. Моделирование информационных процессов. Модель «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» - 2025. — 4 с.</w:t>
      </w:r>
    </w:p>
    <w:p>
      <w:pPr>
        <w:numPr>
          <w:ilvl w:val="0"/>
          <w:numId w:val="1002"/>
        </w:numPr>
      </w:pPr>
      <w:r>
        <w:t xml:space="preserve">Плескунов М.А. Теория массового обслуживания : учебное пособие / М‑во науки и высшего образования РФ, Урал. федер. ун‑т. — Екатеринбург : Изд‑во Урал. ун‑та, 2022. — 264 с.</w:t>
      </w:r>
    </w:p>
    <w:p>
      <w:pPr>
        <w:numPr>
          <w:ilvl w:val="0"/>
          <w:numId w:val="1002"/>
        </w:numPr>
      </w:pPr>
      <w:r>
        <w:t xml:space="preserve">Гнеденко Б.В., Коваленко И.Н. Введение в теорию массового обслуживания. — М.: Наука, 2017. — 432 с.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3" Target="media/rId23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Астраханцева А. А.</dc:creator>
  <dc:language>ru-RU</dc:language>
  <cp:keywords/>
  <dcterms:created xsi:type="dcterms:W3CDTF">2025-03-20T18:17:18Z</dcterms:created>
  <dcterms:modified xsi:type="dcterms:W3CDTF">2025-03-20T18:17:18Z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M|M|1|\infty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