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61.jpg" ContentType="image/jpeg"/>
  <Override PartName="/word/media/rId65.jpg" ContentType="image/jpeg"/>
  <Override PartName="/word/media/rId56.jpg" ContentType="image/jpeg"/>
  <Override PartName="/word/media/rId69.jpg" ContentType="image/jpeg"/>
  <Override PartName="/word/media/rId73.jpg" ContentType="image/jpeg"/>
  <Override PartName="/word/media/rId48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  <w:r>
        <w:t xml:space="preserve"> </w:t>
      </w:r>
      <w:r>
        <w:t xml:space="preserve">параметров модели.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Уравнения модели описывают динамику изменения размера TCP-окна и очереди:</w:t>
      </w:r>
    </w:p>
    <w:p>
      <w:pPr>
        <w:numPr>
          <w:ilvl w:val="0"/>
          <w:numId w:val="1002"/>
        </w:numPr>
      </w:pPr>
      <w:r>
        <w:t xml:space="preserve">Динамика размера TCP-окна: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num>
            <m:den>
              <m:r>
                <m:t>2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den>
          </m:f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0"/>
        </w:numPr>
      </w:pPr>
      <w:r>
        <w:t xml:space="preserve">Это уравнение учитывает фазу медленного старта TCP и алгоритм избежания перегрузок. Размер окна увеличивается на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W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при получении каждого подтверждения и сокращается вдвое при потере пакета[1].</w:t>
      </w:r>
    </w:p>
    <w:p>
      <w:pPr>
        <w:numPr>
          <w:ilvl w:val="0"/>
          <w:numId w:val="1002"/>
        </w:numPr>
      </w:pPr>
      <w:r>
        <w:t xml:space="preserve">Динамика размера очереди: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W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num>
                      <m:den>
                        <m:r>
                          <m:t>R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N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  <m:r>
                              <m:t>W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t>R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Это уравнение описывает разницу между средней интенсивностью поступления пакетов и пропускной способностью сети.</w:t>
      </w:r>
    </w:p>
    <w:p>
      <w:pPr>
        <w:numPr>
          <w:ilvl w:val="0"/>
          <w:numId w:val="1002"/>
        </w:numPr>
      </w:pPr>
      <w:r>
        <w:t xml:space="preserve">Время двойного оборота: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C</m:t>
              </m:r>
            </m:den>
          </m:f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t>p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p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— задержка распространения пакета по сети[1].</w:t>
      </w:r>
    </w:p>
    <w:bookmarkStart w:id="22" w:name="упрощение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Упрощение Модели</w:t>
      </w:r>
    </w:p>
    <w:p>
      <w:pPr>
        <w:pStyle w:val="FirstParagraph"/>
      </w:pPr>
      <w:r>
        <w:t xml:space="preserve">Для упрощения модели предполагается, что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≡</m:t>
          </m:r>
          <m:r>
            <m:t>N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≡</m:t>
          </m:r>
          <m:r>
            <m:t>R</m:t>
          </m:r>
        </m:oMath>
      </m:oMathPara>
    </w:p>
    <w:p>
      <w:pPr>
        <w:pStyle w:val="FirstParagraph"/>
      </w:pPr>
      <w:r>
        <w:t xml:space="preserve">, 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K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, где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</m:oMath>
      </m:oMathPara>
    </w:p>
    <w:p>
      <w:pPr>
        <w:pStyle w:val="FirstParagraph"/>
      </w:pPr>
      <w:r>
        <w:t xml:space="preserve">— константа. Это приводит к упрощенным уравнениям:</w:t>
      </w:r>
    </w:p>
    <w:p>
      <w:pPr>
        <w:numPr>
          <w:ilvl w:val="0"/>
          <w:numId w:val="1003"/>
        </w:numPr>
      </w:pPr>
      <w:r>
        <w:t xml:space="preserve">Упрощенная динамика размера TCP-окна: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</m:e>
              </m:d>
            </m:num>
            <m:den>
              <m:r>
                <m:t>2</m:t>
              </m:r>
              <m:r>
                <m:t>R</m:t>
              </m:r>
            </m:den>
          </m:f>
          <m:r>
            <m:t>K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003"/>
        </w:numPr>
      </w:pPr>
      <w:r>
        <w:t xml:space="preserve">Упрощенная динамика размера очереди: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W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num>
                      <m:den>
                        <m: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N</m:t>
                            </m:r>
                            <m:r>
                              <m:t>W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t>R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Эти уравнения описывают систему с обратной связью, где управление осуществляется через вероятностную функцию сброса пакетов, пропорциональную длине очереди.</w:t>
      </w:r>
    </w:p>
    <w:bookmarkEnd w:id="22"/>
    <w:bookmarkEnd w:id="23"/>
    <w:bookmarkStart w:id="60" w:name="реализация-модели-в-xc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Откроем окно Scilab, далее - инструменты - визуальное программирование xcos. Зафиксируем начальные данные: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В меню</w:t>
      </w:r>
      <w:r>
        <w:t xml:space="preserve"> </w:t>
      </w:r>
      <w:r>
        <w:t xml:space="preserve">“</w:t>
      </w:r>
      <w:r>
        <w:t xml:space="preserve">Моделирование -&gt; Задать переменные окружения</w:t>
      </w:r>
      <w:r>
        <w:t xml:space="preserve">”</w:t>
      </w:r>
      <w:r>
        <w:t xml:space="preserve"> </w:t>
      </w:r>
      <w:r>
        <w:t xml:space="preserve">зададим значения переменных (рис. 1).</w:t>
      </w:r>
    </w:p>
    <w:p>
      <w:pPr>
        <w:pStyle w:val="CaptionedFigure"/>
      </w:pPr>
      <w:bookmarkStart w:id="27" w:name="fig:001"/>
      <w:r>
        <w:drawing>
          <wp:inline>
            <wp:extent cx="3041650" cy="2006600"/>
            <wp:effectExtent b="0" l="0" r="0" t="0"/>
            <wp:docPr descr="Рис. 1: Значения переменных среды" title="" id="25" name="Picture"/>
            <a:graphic>
              <a:graphicData uri="http://schemas.openxmlformats.org/drawingml/2006/picture">
                <pic:pic>
                  <pic:nvPicPr>
                    <pic:cNvPr descr="image/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Значения переменных среды</w:t>
      </w:r>
    </w:p>
    <w:p>
      <w:pPr>
        <w:pStyle w:val="BodyText"/>
      </w:pPr>
      <w:r>
        <w:t xml:space="preserve">Разместим блоки интегрирования - INTEGRAL_m: В параметрах необходимо задать начальные значения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Поскольку эти значения я записала в переменные среды, в параметры блоков интегрирования помещу названия переменных (рис. 2 - 3).</w:t>
      </w:r>
    </w:p>
    <w:p>
      <w:pPr>
        <w:pStyle w:val="CaptionedFigure"/>
      </w:pPr>
      <w:bookmarkStart w:id="31" w:name="fig:002"/>
      <w:r>
        <w:drawing>
          <wp:inline>
            <wp:extent cx="2762250" cy="1822450"/>
            <wp:effectExtent b="0" l="0" r="0" t="0"/>
            <wp:docPr descr="Рис. 2: Настройки для блока интегрирования Q(t)" title="" id="29" name="Picture"/>
            <a:graphic>
              <a:graphicData uri="http://schemas.openxmlformats.org/drawingml/2006/picture">
                <pic:pic>
                  <pic:nvPicPr>
                    <pic:cNvPr descr="image/5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Настройки для блока интегрирования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aptionedFigure"/>
      </w:pPr>
      <w:bookmarkStart w:id="35" w:name="fig:003"/>
      <w:r>
        <w:drawing>
          <wp:inline>
            <wp:extent cx="2686050" cy="1847850"/>
            <wp:effectExtent b="0" l="0" r="0" t="0"/>
            <wp:docPr descr="Рис. 3: Настройки для блока интегрирования W(t)" title="" id="33" name="Picture"/>
            <a:graphic>
              <a:graphicData uri="http://schemas.openxmlformats.org/drawingml/2006/picture">
                <pic:pic>
                  <pic:nvPicPr>
                    <pic:cNvPr descr="image/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Настройки для блока интегрирования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Для регистрирующих устройств, используемых для пос трения графиков, устанавливаем ограничения по осям (рис. 4 - 5).</w:t>
      </w:r>
    </w:p>
    <w:p>
      <w:pPr>
        <w:pStyle w:val="CaptionedFigure"/>
      </w:pPr>
      <w:bookmarkStart w:id="39" w:name="fig:004"/>
      <w:r>
        <w:drawing>
          <wp:inline>
            <wp:extent cx="3086100" cy="3105150"/>
            <wp:effectExtent b="0" l="0" r="0" t="0"/>
            <wp:docPr descr="Рис. 4: Настройки для регистрирующего устройства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Настройки для регистрирующего устройства</w:t>
      </w:r>
    </w:p>
    <w:p>
      <w:pPr>
        <w:pStyle w:val="CaptionedFigure"/>
      </w:pPr>
      <w:bookmarkStart w:id="43" w:name="fig:005"/>
      <w:r>
        <w:drawing>
          <wp:inline>
            <wp:extent cx="3060700" cy="2940050"/>
            <wp:effectExtent b="0" l="0" r="0" t="0"/>
            <wp:docPr descr="Рис. 5: Настройки для регистрирующего устройства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Настройки для регистрирующего устройства</w:t>
      </w:r>
    </w:p>
    <w:p>
      <w:pPr>
        <w:pStyle w:val="BodyText"/>
      </w:pPr>
      <w:r>
        <w:t xml:space="preserve">В блок для записи выражения записываем уравнение для вычисления размена очереди (рис. 6).</w:t>
      </w:r>
    </w:p>
    <w:p>
      <w:pPr>
        <w:pStyle w:val="CaptionedFigure"/>
      </w:pPr>
      <w:bookmarkStart w:id="47" w:name="fig:006"/>
      <w:r>
        <w:drawing>
          <wp:inline>
            <wp:extent cx="3683000" cy="1784350"/>
            <wp:effectExtent b="0" l="0" r="0" t="0"/>
            <wp:docPr descr="Рис. 6: Настройки для блока записи выражений" title="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Настройки для блока записи выражений</w:t>
      </w:r>
    </w:p>
    <w:p>
      <w:pPr>
        <w:pStyle w:val="BodyText"/>
      </w:pPr>
      <w:r>
        <w:t xml:space="preserve">Получаем такую схему (рис. 7).</w:t>
      </w:r>
    </w:p>
    <w:p>
      <w:pPr>
        <w:pStyle w:val="CaptionedFigure"/>
      </w:pPr>
      <w:bookmarkStart w:id="51" w:name="fig:007"/>
      <w:r>
        <w:drawing>
          <wp:inline>
            <wp:extent cx="4527550" cy="2686050"/>
            <wp:effectExtent b="0" l="0" r="0" t="0"/>
            <wp:docPr descr="Рис. 7: Итоговый вид схемы" title="" id="49" name="Picture"/>
            <a:graphic>
              <a:graphicData uri="http://schemas.openxmlformats.org/drawingml/2006/picture">
                <pic:pic>
                  <pic:nvPicPr>
                    <pic:cNvPr descr="image/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Итоговый вид схемы</w:t>
      </w:r>
    </w:p>
    <w:p>
      <w:pPr>
        <w:pStyle w:val="BodyText"/>
      </w:pPr>
      <w:r>
        <w:t xml:space="preserve">При запуске симуляции рисуются графики размера окна, размера очереди и фазовый портрет (рис. 8).</w:t>
      </w:r>
    </w:p>
    <w:p>
      <w:pPr>
        <w:pStyle w:val="CaptionedFigure"/>
      </w:pPr>
      <w:bookmarkStart w:id="55" w:name="fig:008"/>
      <w:r>
        <w:drawing>
          <wp:inline>
            <wp:extent cx="5334000" cy="1614034"/>
            <wp:effectExtent b="0" l="0" r="0" t="0"/>
            <wp:docPr descr="Рис. 8: Графики размера окна, размера очереди и фазовый портрет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Графики размера окна, размера очереди и фазовый портрет</w:t>
      </w:r>
    </w:p>
    <w:p>
      <w:pPr>
        <w:pStyle w:val="BodyText"/>
      </w:pPr>
      <w:r>
        <w:t xml:space="preserve">Если изменить скорость обработки пакетов на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  <w:r>
        <w:t xml:space="preserve">, то получим следующие графики (рис. 9).</w:t>
      </w:r>
    </w:p>
    <w:p>
      <w:pPr>
        <w:pStyle w:val="CaptionedFigure"/>
      </w:pPr>
      <w:bookmarkStart w:id="59" w:name="fig:009"/>
      <w:r>
        <w:drawing>
          <wp:inline>
            <wp:extent cx="5334000" cy="1815066"/>
            <wp:effectExtent b="0" l="0" r="0" t="0"/>
            <wp:docPr descr="Рис. 9: Графики размера окна, размера очереди и фазовый портрет при C = 0.9" title="" id="57" name="Picture"/>
            <a:graphic>
              <a:graphicData uri="http://schemas.openxmlformats.org/drawingml/2006/picture">
                <pic:pic>
                  <pic:nvPicPr>
                    <pic:cNvPr descr="image/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Графики размера окна, размера очереди и фазовый портрет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bookmarkEnd w:id="60"/>
    <w:bookmarkStart w:id="77" w:name="реализация-модели-в-openmodelic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Открываем OMEdit, создаем новый класс. Записываем в него код для моделирования: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  parameter Real N=1;</w:t>
      </w:r>
      <w:r>
        <w:br/>
      </w:r>
      <w:r>
        <w:rPr>
          <w:rStyle w:val="VerbatimChar"/>
        </w:rPr>
        <w:t xml:space="preserve">  parameter Real R=1;</w:t>
      </w:r>
      <w:r>
        <w:br/>
      </w:r>
      <w:r>
        <w:rPr>
          <w:rStyle w:val="VerbatimChar"/>
        </w:rPr>
        <w:t xml:space="preserve">  parameter Real K=5.3;</w:t>
      </w:r>
      <w:r>
        <w:br/>
      </w:r>
      <w:r>
        <w:rPr>
          <w:rStyle w:val="VerbatimChar"/>
        </w:rPr>
        <w:t xml:space="preserve">  parameter Real C=0.9;</w:t>
      </w:r>
      <w:r>
        <w:br/>
      </w:r>
      <w:r>
        <w:rPr>
          <w:rStyle w:val="VerbatimChar"/>
        </w:rPr>
        <w:t xml:space="preserve">  Real W(start=0.1);</w:t>
      </w:r>
      <w:r>
        <w:br/>
      </w:r>
      <w:r>
        <w:rPr>
          <w:rStyle w:val="VerbatimChar"/>
        </w:rPr>
        <w:t xml:space="preserve">  Real Q(start=1);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der(W)= 1/R - W*delay(W, R)/(2*R)*K*delay(Q, R);</w:t>
      </w:r>
      <w:r>
        <w:br/>
      </w:r>
      <w:r>
        <w:rPr>
          <w:rStyle w:val="VerbatimChar"/>
        </w:rPr>
        <w:t xml:space="preserve">  der(Q)= if (Q==0) then max(N*W/R-C,0) else (N*W/R-C);</w:t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При запуске симуляции рисуются графики размера окна, размера очереди и фазовый портрет. Они аналогичен тем, что были построены с помощью xcos (рис. 10 - 11).</w:t>
      </w:r>
    </w:p>
    <w:p>
      <w:pPr>
        <w:pStyle w:val="CaptionedFigure"/>
      </w:pPr>
      <w:bookmarkStart w:id="64" w:name="fig:010"/>
      <w:r>
        <w:drawing>
          <wp:inline>
            <wp:extent cx="5334000" cy="1649398"/>
            <wp:effectExtent b="0" l="0" r="0" t="0"/>
            <wp:docPr descr="Рис. 10: График размера окна, размера очереди в OpenModelica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График размера окна, размера очереди в OpenModelica</w:t>
      </w:r>
    </w:p>
    <w:p>
      <w:pPr>
        <w:pStyle w:val="CaptionedFigure"/>
      </w:pPr>
      <w:bookmarkStart w:id="68" w:name="fig:011"/>
      <w:r>
        <w:drawing>
          <wp:inline>
            <wp:extent cx="5334000" cy="1632204"/>
            <wp:effectExtent b="0" l="0" r="0" t="0"/>
            <wp:docPr descr="Рис. 11: Графики фазового портрета в OpenModelica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Графики фазового портрета в OpenModelica</w:t>
      </w:r>
    </w:p>
    <w:p>
      <w:pPr>
        <w:pStyle w:val="BodyText"/>
      </w:pPr>
      <w:r>
        <w:t xml:space="preserve">Если изменить скорость обработки пакетов на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  <w:r>
        <w:t xml:space="preserve">, то снова получим графики, аналогичные тем, что были построены с помощью xcos (рис. 12 - 13).</w:t>
      </w:r>
    </w:p>
    <w:p>
      <w:pPr>
        <w:pStyle w:val="CaptionedFigure"/>
      </w:pPr>
      <w:bookmarkStart w:id="72" w:name="fig:012"/>
      <w:r>
        <w:drawing>
          <wp:inline>
            <wp:extent cx="5334000" cy="1649469"/>
            <wp:effectExtent b="0" l="0" r="0" t="0"/>
            <wp:docPr descr="Рис. 12: График размера окна, размера очереди в OpenModelica при C = 0.9" title="" id="70" name="Picture"/>
            <a:graphic>
              <a:graphicData uri="http://schemas.openxmlformats.org/drawingml/2006/picture">
                <pic:pic>
                  <pic:nvPicPr>
                    <pic:cNvPr descr="image/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График размера окна, размера очереди в OpenModelica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76" w:name="fig:013"/>
      <w:r>
        <w:drawing>
          <wp:inline>
            <wp:extent cx="5334000" cy="1618934"/>
            <wp:effectExtent b="0" l="0" r="0" t="0"/>
            <wp:docPr descr="Рис. 13: Графики фазового портрета в OpenModelica при C = 0.9" title="" id="74" name="Picture"/>
            <a:graphic>
              <a:graphicData uri="http://schemas.openxmlformats.org/drawingml/2006/picture">
                <pic:pic>
                  <pic:nvPicPr>
                    <pic:cNvPr descr="image/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Графики фазового портрета в OpenModelica 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0.9</m:t>
        </m:r>
      </m:oMath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модель TCP/AQM в xcos и OpenModelica.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Королькова А.В., Кулябов Д.С. Руководство к лабораторной работе №8. Моделирование информационных процессов. Модель «TCP/AQM» - 2025. — 5 с.</w:t>
      </w:r>
    </w:p>
    <w:p>
      <w:pPr>
        <w:numPr>
          <w:ilvl w:val="0"/>
          <w:numId w:val="1004"/>
        </w:numPr>
      </w:pPr>
      <w:r>
        <w:t xml:space="preserve">Реализация модели в OpenModelica. Хильдинг Элмквист, Свен Эрик Маттссон, Мартин Оттер. Modelica – A Unified Object-Oriented Language for Physical Systems Modeling. – Springer, 2019.</w:t>
      </w:r>
    </w:p>
    <w:p>
      <w:pPr>
        <w:numPr>
          <w:ilvl w:val="0"/>
          <w:numId w:val="1004"/>
        </w:numPr>
      </w:pPr>
      <w:r>
        <w:t xml:space="preserve">Общие сведения о компьютерных сетях. Kurose, J. F., &amp; Ross, K. W. Computer networking: A top-down approach. – 7-е изд. – Pearson, 2017.</w:t>
      </w:r>
    </w:p>
    <w:p>
      <w:pPr>
        <w:numPr>
          <w:ilvl w:val="0"/>
          <w:numId w:val="1004"/>
        </w:numPr>
      </w:pPr>
      <w:r>
        <w:t xml:space="preserve">Моделирование трафика [Электронный ресурс] // Википедия. Свободная энциклопедия. URL: https://ru.wikipedia.org/wiki/Моделирование_трафика (дата обращения: 29.03.2025).</w:t>
      </w:r>
    </w:p>
    <w:p>
      <w:pPr>
        <w:numPr>
          <w:ilvl w:val="0"/>
          <w:numId w:val="1004"/>
        </w:numPr>
      </w:pPr>
      <w:r>
        <w:t xml:space="preserve">Мохаммед Ала Абдулрахман Саид. Методы декомпозиции показателей качества обслуживания трафика в сети следующего поколения: диссертация на соискание ученой степени кандидата технических наук. – Москва, 2017. – 128 с. URL: https://dis.mtuci.ru/upload/srd/Dis-Mohammed-AAS/dis-Mohammed-AAS.pdf.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56" Target="media/rId56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Астраханцева А. А.</dc:creator>
  <dc:language>ru-RU</dc:language>
  <cp:keywords/>
  <dcterms:created xsi:type="dcterms:W3CDTF">2025-03-29T11:42:17Z</dcterms:created>
  <dcterms:modified xsi:type="dcterms:W3CDTF">2025-03-29T11:42:17Z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TCP/AQM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