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«Накорми студентов» с помощью CPN Tools.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 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1"/>
        </w:numPr>
        <w:pStyle w:val="Compact"/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1"/>
        </w:numPr>
        <w:pStyle w:val="Compact"/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2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2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2"/>
        </w:numPr>
        <w:pStyle w:val="Compact"/>
      </w:pPr>
      <w:r>
        <w:t xml:space="preserve">построение и анализ пространства состояний модели</w:t>
      </w:r>
    </w:p>
    <w:bookmarkEnd w:id="21"/>
    <w:bookmarkStart w:id="43" w:name="реализация-модели-в-xco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</w:p>
    <w:p>
      <w:pPr>
        <w:numPr>
          <w:ilvl w:val="0"/>
          <w:numId w:val="1003"/>
        </w:numPr>
        <w:pStyle w:val="Compact"/>
      </w:pPr>
      <w:r>
        <w:t xml:space="preserve">два типа фишек: «пироги» и «студенты»;</w:t>
      </w:r>
    </w:p>
    <w:p>
      <w:pPr>
        <w:numPr>
          <w:ilvl w:val="0"/>
          <w:numId w:val="1003"/>
        </w:numPr>
        <w:pStyle w:val="Compact"/>
      </w:pPr>
      <w:r>
        <w:t xml:space="preserve">три позиции: «голодный студент», «пирожки», «сытый студент»;</w:t>
      </w:r>
    </w:p>
    <w:p>
      <w:pPr>
        <w:numPr>
          <w:ilvl w:val="0"/>
          <w:numId w:val="1003"/>
        </w:numPr>
        <w:pStyle w:val="Compact"/>
      </w:pPr>
      <w:r>
        <w:t xml:space="preserve">один переход: «съесть пирожок».</w:t>
      </w:r>
    </w:p>
    <w:p>
      <w:pPr>
        <w:pStyle w:val="FirstParagraph"/>
      </w:pPr>
      <w:r>
        <w:t xml:space="preserve">Для запуска CPN Tools в терминале нужно прописать команду</w:t>
      </w:r>
      <w:r>
        <w:t xml:space="preserve"> </w:t>
      </w:r>
      <w:r>
        <w:rPr>
          <w:rStyle w:val="VerbatimChar"/>
        </w:rPr>
        <w:t xml:space="preserve">cpntools &amp;</w:t>
      </w:r>
      <w:r>
        <w:t xml:space="preserve">. Рисуем граф сети. Для этого с помощью контекстного меню создаём новую сеть, добавляем позиции, переход и дуги (рис. 1).</w:t>
      </w:r>
    </w:p>
    <w:p>
      <w:pPr>
        <w:pStyle w:val="CaptionedFigure"/>
      </w:pPr>
      <w:bookmarkStart w:id="25" w:name="fig:001"/>
      <w:r>
        <w:drawing>
          <wp:inline>
            <wp:extent cx="3905250" cy="2990850"/>
            <wp:effectExtent b="0" l="0" r="0" t="0"/>
            <wp:docPr descr="Рис. 1: 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numPr>
          <w:ilvl w:val="0"/>
          <w:numId w:val="1004"/>
        </w:numPr>
        <w:pStyle w:val="Compact"/>
      </w:pPr>
      <w:r>
        <w:t xml:space="preserve">В меню задаём новые декларации модели: типы фишек, начальные значения позиций, выражения для дуг. Для этого наведя мышку на меню</w:t>
      </w:r>
      <w:r>
        <w:t xml:space="preserve"> </w:t>
      </w:r>
      <w:r>
        <w:rPr>
          <w:rStyle w:val="VerbatimChar"/>
        </w:rPr>
        <w:t xml:space="preserve">Standart declarations</w:t>
      </w:r>
      <w:r>
        <w:t xml:space="preserve">, правой кнопкой вызываем контекстное меню и выбираем</w:t>
      </w:r>
      <w:r>
        <w:t xml:space="preserve"> </w:t>
      </w:r>
      <w:r>
        <w:rPr>
          <w:rStyle w:val="VerbatimChar"/>
        </w:rPr>
        <w:t xml:space="preserve">New Decl</w:t>
      </w:r>
      <w:r>
        <w:t xml:space="preserve">. После этого задаем тип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фишкам, относящимся к студентам, тип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фишкам, относящимся к пирогам, задаём значения переменных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для дуг и начальные 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 </w:t>
      </w:r>
      <w:r>
        <w:t xml:space="preserve">(рис. 2):</w:t>
      </w:r>
    </w:p>
    <w:p>
      <w:pPr>
        <w:pStyle w:val="SourceCode"/>
      </w:pPr>
      <w:r>
        <w:rPr>
          <w:rStyle w:val="VerbatimChar"/>
        </w:rPr>
        <w:t xml:space="preserve">colset s=unit with student;</w:t>
      </w:r>
      <w:r>
        <w:br/>
      </w:r>
      <w:r>
        <w:rPr>
          <w:rStyle w:val="VerbatimChar"/>
        </w:rPr>
        <w:t xml:space="preserve">colset p=unit with pasty;</w:t>
      </w:r>
      <w:r>
        <w:br/>
      </w:r>
      <w:r>
        <w:rPr>
          <w:rStyle w:val="VerbatimChar"/>
        </w:rPr>
        <w:t xml:space="preserve">var x:s;</w:t>
      </w:r>
      <w:r>
        <w:br/>
      </w:r>
      <w:r>
        <w:rPr>
          <w:rStyle w:val="VerbatimChar"/>
        </w:rPr>
        <w:t xml:space="preserve">var y:p;</w:t>
      </w:r>
      <w:r>
        <w:br/>
      </w:r>
      <w:r>
        <w:rPr>
          <w:rStyle w:val="VerbatimChar"/>
        </w:rPr>
        <w:t xml:space="preserve">val init_stud = 3`student;</w:t>
      </w:r>
      <w:r>
        <w:br/>
      </w:r>
      <w:r>
        <w:rPr>
          <w:rStyle w:val="VerbatimChar"/>
        </w:rPr>
        <w:t xml:space="preserve">val init_food = 5`pasty;</w:t>
      </w:r>
    </w:p>
    <w:p>
      <w:pPr>
        <w:pStyle w:val="CaptionedFigure"/>
      </w:pPr>
      <w:bookmarkStart w:id="29" w:name="fig:002"/>
      <w:r>
        <w:drawing>
          <wp:inline>
            <wp:extent cx="1460500" cy="1111250"/>
            <wp:effectExtent b="0" l="0" r="0" t="0"/>
            <wp:docPr descr="Рис. 2: Декларации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33" w:name="fig:003"/>
      <w:r>
        <w:drawing>
          <wp:inline>
            <wp:extent cx="3238500" cy="1714500"/>
            <wp:effectExtent b="0" l="0" r="0" t="0"/>
            <wp:docPr descr="Рис. 3: Модель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 (рис. 4).</w:t>
      </w:r>
    </w:p>
    <w:p>
      <w:pPr>
        <w:pStyle w:val="CaptionedFigure"/>
      </w:pPr>
      <w:bookmarkStart w:id="37" w:name="fig:004"/>
      <w:r>
        <w:drawing>
          <wp:inline>
            <wp:extent cx="3708400" cy="1841500"/>
            <wp:effectExtent b="0" l="0" r="0" t="0"/>
            <wp:docPr descr="Рис. 4: Запуск модели «Накорми студентов»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модели «Накорми студентов»</w:t>
      </w:r>
    </w:p>
    <w:bookmarkStart w:id="42" w:name="выполнение-упражн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упражнения</w:t>
      </w:r>
    </w:p>
    <w:p>
      <w:pPr>
        <w:pStyle w:val="FirstParagraph"/>
      </w:pPr>
      <w:r>
        <w:t xml:space="preserve">Прежде чем приступить к вычислению пространства состояний, необходимо сформировать код для этого пространства. Это делается с помощью инструмента</w:t>
      </w:r>
      <w:r>
        <w:t xml:space="preserve"> </w:t>
      </w:r>
      <w:r>
        <w:t xml:space="preserve">“</w:t>
      </w:r>
      <w:r>
        <w:t xml:space="preserve">Войти в пространство состояний</w:t>
      </w:r>
      <w:r>
        <w:t xml:space="preserve">”</w:t>
      </w:r>
      <w:r>
        <w:t xml:space="preserve">, который может занять некоторое время.</w:t>
      </w:r>
      <w:r>
        <w:t xml:space="preserve"> </w:t>
      </w:r>
      <w:r>
        <w:t xml:space="preserve">Если ожидается небольшое пространство состояний, можно напрямую применить инструмент</w:t>
      </w:r>
      <w:r>
        <w:t xml:space="preserve"> </w:t>
      </w:r>
      <w:r>
        <w:t xml:space="preserve">“</w:t>
      </w:r>
      <w:r>
        <w:t xml:space="preserve">Вычислить пространство состояний</w:t>
      </w:r>
      <w:r>
        <w:t xml:space="preserve">”</w:t>
      </w:r>
      <w:r>
        <w:t xml:space="preserve"> </w:t>
      </w:r>
      <w:r>
        <w:t xml:space="preserve">к странице сети.</w:t>
      </w:r>
    </w:p>
    <w:p>
      <w:pPr>
        <w:pStyle w:val="BodyText"/>
      </w:pPr>
      <w:r>
        <w:t xml:space="preserve">После вычисления пространства состояний формируем отчёт. Чтобы сохранить отчёт, используем инструмент</w:t>
      </w:r>
      <w:r>
        <w:t xml:space="preserve"> </w:t>
      </w:r>
      <w:r>
        <w:t xml:space="preserve">“</w:t>
      </w:r>
      <w:r>
        <w:t xml:space="preserve">Сохранить отчет о пространстве состояний</w:t>
      </w:r>
      <w:r>
        <w:t xml:space="preserve">”</w:t>
      </w:r>
      <w:r>
        <w:t xml:space="preserve"> </w:t>
      </w:r>
      <w:r>
        <w:t xml:space="preserve">и указываем имя файла.</w:t>
      </w:r>
      <w:r>
        <w:t xml:space="preserve"> </w:t>
      </w:r>
      <w:r>
        <w:t xml:space="preserve">Получим такой отчет: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Thu Apr  3 22:23:04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New_Page'food 1         5          2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New_Page'food 1     5`pasty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New_Page'food 1     2`pasty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Из отчёта можно получить следующие сведения:</w:t>
      </w:r>
    </w:p>
    <w:p>
      <w:pPr>
        <w:numPr>
          <w:ilvl w:val="0"/>
          <w:numId w:val="1005"/>
        </w:numPr>
        <w:pStyle w:val="Compact"/>
      </w:pPr>
      <w:r>
        <w:t xml:space="preserve">Структура пространства состояний: Пространство состояний состоит из 4 состояний и 3 переходов между ними. Модель построена быстро, за 0 секунд, что указывает на её небольшой размер.</w:t>
      </w:r>
    </w:p>
    <w:p>
      <w:pPr>
        <w:numPr>
          <w:ilvl w:val="0"/>
          <w:numId w:val="1005"/>
        </w:numPr>
        <w:pStyle w:val="Compact"/>
      </w:pPr>
      <w:r>
        <w:t xml:space="preserve">Граф сильно связных компонентов (SCC): Все состояния образуют единый граф SCC.</w:t>
      </w:r>
    </w:p>
    <w:p>
      <w:pPr>
        <w:numPr>
          <w:ilvl w:val="0"/>
          <w:numId w:val="1005"/>
        </w:numPr>
        <w:pStyle w:val="Compact"/>
      </w:pPr>
      <w:r>
        <w:t xml:space="preserve">Ограниченность ресурсов:</w:t>
      </w:r>
    </w:p>
    <w:p>
      <w:pPr>
        <w:numPr>
          <w:ilvl w:val="1"/>
          <w:numId w:val="1006"/>
        </w:numPr>
        <w:pStyle w:val="Compact"/>
      </w:pPr>
      <w:r>
        <w:t xml:space="preserve">Еда (food): Максимальное количество — 5 порций, минимальное — 2 порции. Пища расходуется, но не восполняется.</w:t>
      </w:r>
    </w:p>
    <w:p>
      <w:pPr>
        <w:numPr>
          <w:ilvl w:val="0"/>
          <w:numId w:val="1005"/>
        </w:numPr>
        <w:pStyle w:val="Compact"/>
      </w:pPr>
      <w:r>
        <w:t xml:space="preserve">Гарантированное завершение:</w:t>
      </w:r>
    </w:p>
    <w:p>
      <w:pPr>
        <w:numPr>
          <w:ilvl w:val="0"/>
          <w:numId w:val="1007"/>
        </w:numPr>
        <w:pStyle w:val="Compact"/>
      </w:pPr>
      <w:r>
        <w:t xml:space="preserve">Существует терминальное состояние, достижимое из любой маркировки.</w:t>
      </w:r>
    </w:p>
    <w:p>
      <w:pPr>
        <w:numPr>
          <w:ilvl w:val="0"/>
          <w:numId w:val="1007"/>
        </w:numPr>
        <w:pStyle w:val="Compact"/>
      </w:pPr>
      <w:r>
        <w:t xml:space="preserve">В финальном состоянии все студенты сыты, остаётся 2 порции еды.</w:t>
      </w:r>
    </w:p>
    <w:p>
      <w:pPr>
        <w:numPr>
          <w:ilvl w:val="0"/>
          <w:numId w:val="1008"/>
        </w:numPr>
        <w:pStyle w:val="Compact"/>
      </w:pPr>
      <w:r>
        <w:t xml:space="preserve">Отсутствие циклов:</w:t>
      </w:r>
    </w:p>
    <w:p>
      <w:pPr>
        <w:numPr>
          <w:ilvl w:val="0"/>
          <w:numId w:val="1009"/>
        </w:numPr>
        <w:pStyle w:val="Compact"/>
      </w:pPr>
      <w:r>
        <w:t xml:space="preserve">Нет бесконечных последовательностей переходов.</w:t>
      </w:r>
    </w:p>
    <w:p>
      <w:pPr>
        <w:numPr>
          <w:ilvl w:val="0"/>
          <w:numId w:val="1009"/>
        </w:numPr>
        <w:pStyle w:val="Compact"/>
      </w:pPr>
      <w:r>
        <w:t xml:space="preserve">Вывод: Модель описывает одноразовый процесс обслуживания без возможности повторения.</w:t>
      </w:r>
    </w:p>
    <w:p>
      <w:pPr>
        <w:pStyle w:val="FirstParagraph"/>
      </w:pPr>
      <w:r>
        <w:t xml:space="preserve">Построенный граф пространства состояний (рис. 5).</w:t>
      </w:r>
    </w:p>
    <w:p>
      <w:pPr>
        <w:pStyle w:val="CaptionedFigure"/>
      </w:pPr>
      <w:bookmarkStart w:id="41" w:name="fig:005"/>
      <w:r>
        <w:drawing>
          <wp:inline>
            <wp:extent cx="2286000" cy="3073400"/>
            <wp:effectExtent b="0" l="0" r="0" t="0"/>
            <wp:docPr descr="Рис. 5: Пространство состояний для модели «Накорми студентов»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реализовала модель «Накорми студентов» с помощью CPN Tools.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Королькова А.В., Кулябов Д.С. Руководство к лабораторной работе №9. Моделирование информационных процессов. Модель «Накорми студентов» - 2025. — 4 с.</w:t>
      </w:r>
    </w:p>
    <w:p>
      <w:pPr>
        <w:numPr>
          <w:ilvl w:val="0"/>
          <w:numId w:val="1010"/>
        </w:numPr>
        <w:pStyle w:val="Compact"/>
      </w:pPr>
      <w:r>
        <w:t xml:space="preserve">Modeling with Coloured Petri Nets [Электронный ресурс] // URL: https://cpntools.org/2018/01/16/getting-started.</w:t>
      </w:r>
    </w:p>
    <w:p>
      <w:pPr>
        <w:numPr>
          <w:ilvl w:val="0"/>
          <w:numId w:val="1010"/>
        </w:numPr>
        <w:pStyle w:val="Compact"/>
      </w:pPr>
      <w:r>
        <w:t xml:space="preserve">Jensen K., Kristensen L.M., Wells L. Coloured Petri Nets and CPN Tools for Modelling and Validation of Concurrent Systems // Software Tools for Technology Transfer. 2007. — URL: https://cs.au.dk/fileadmin/site_files/cs/research_areas/centers_and_projects/sttt2007.pdf.</w:t>
      </w:r>
    </w:p>
    <w:p>
      <w:pPr>
        <w:numPr>
          <w:ilvl w:val="0"/>
          <w:numId w:val="1010"/>
        </w:numPr>
        <w:pStyle w:val="Compact"/>
      </w:pPr>
      <w:r>
        <w:t xml:space="preserve">Ratzer A.V., Wells L., Lassen H.M., et al. CPN Tools for Editing, Simulating, and Analysing Coloured Petri Nets // ICATPN Proceedings, 2003 — URL: https://api.semanticscholar.org/CorpusID:12059006.</w:t>
      </w:r>
    </w:p>
    <w:p>
      <w:pPr>
        <w:numPr>
          <w:ilvl w:val="0"/>
          <w:numId w:val="1010"/>
        </w:numPr>
        <w:pStyle w:val="Compact"/>
      </w:pPr>
      <w:r>
        <w:t xml:space="preserve">Beaudouin-Lafon M., Mackay W.E., Andersen P., et al. Editing and Simulating Coloured Petri Nets // CPNTools.doc, University of Aarhus, 2000 — URL: https://www.lri.fr/~mbl/papers/PN2000/paper.pdf.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Астраханцева А. А.</dc:creator>
  <dc:language>ru-RU</dc:language>
  <cp:keywords/>
  <dcterms:created xsi:type="dcterms:W3CDTF">2025-04-04T16:58:58Z</dcterms:created>
  <dcterms:modified xsi:type="dcterms:W3CDTF">2025-04-04T16:58:58Z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«Накорми студентов»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