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8.jpg" ContentType="image/jpeg"/>
  <Override PartName="/word/media/rId42.jpg" ContentType="image/jpeg"/>
  <Override PartName="/word/media/rId34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задачи об обедающих мудрецах с помощью CPN Tools.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 эквивалентны машине Тьюринга и составляют универсальную алгоритмическую систему, позволяющую описать произвольный объект. CPN Tools позволяет визуализировать модель с помощью графа сети Петри и применить язык программирования CPN ML (Colored Petri Net Markup Language) для формализованного описания модели.</w:t>
      </w:r>
    </w:p>
    <w:p>
      <w:pPr>
        <w:pStyle w:val="BodyText"/>
      </w:pPr>
      <w:r>
        <w:t xml:space="preserve">Назначение CPN Tools:</w:t>
      </w:r>
    </w:p>
    <w:p>
      <w:pPr>
        <w:numPr>
          <w:ilvl w:val="0"/>
          <w:numId w:val="1001"/>
        </w:numPr>
        <w:pStyle w:val="Compact"/>
      </w:pPr>
      <w:r>
        <w:t xml:space="preserve">разработка сложных объектов и моделирование процессов в различных прикладных областях, в том числе:</w:t>
      </w:r>
    </w:p>
    <w:p>
      <w:pPr>
        <w:numPr>
          <w:ilvl w:val="0"/>
          <w:numId w:val="1001"/>
        </w:numPr>
        <w:pStyle w:val="Compact"/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1"/>
        </w:numPr>
        <w:pStyle w:val="Compact"/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1"/>
        </w:numPr>
        <w:pStyle w:val="Compact"/>
      </w:pPr>
      <w:r>
        <w:t xml:space="preserve">спецификация и верификация протоколов, оценка пропускной способности сетей и качества обслуживания, проектирование телекоммуникационных устройств и сетей.</w:t>
      </w:r>
    </w:p>
    <w:p>
      <w:pPr>
        <w:pStyle w:val="FirstParagraph"/>
      </w:pPr>
      <w:r>
        <w:t xml:space="preserve">Основные функции CPN Tools:</w:t>
      </w:r>
    </w:p>
    <w:p>
      <w:pPr>
        <w:numPr>
          <w:ilvl w:val="0"/>
          <w:numId w:val="1002"/>
        </w:numPr>
        <w:pStyle w:val="Compact"/>
      </w:pPr>
      <w:r>
        <w:t xml:space="preserve">создание (редактирование) моделей;</w:t>
      </w:r>
    </w:p>
    <w:p>
      <w:pPr>
        <w:numPr>
          <w:ilvl w:val="0"/>
          <w:numId w:val="1002"/>
        </w:numPr>
        <w:pStyle w:val="Compact"/>
      </w:pPr>
      <w:r>
        <w:t xml:space="preserve">анализ поведения моделей с помощью имитации динамики сети Петри;</w:t>
      </w:r>
    </w:p>
    <w:p>
      <w:pPr>
        <w:numPr>
          <w:ilvl w:val="0"/>
          <w:numId w:val="1002"/>
        </w:numPr>
        <w:pStyle w:val="Compact"/>
      </w:pPr>
      <w:r>
        <w:t xml:space="preserve">построение и анализ пространства состояний модели</w:t>
      </w:r>
    </w:p>
    <w:bookmarkEnd w:id="21"/>
    <w:bookmarkStart w:id="51" w:name="реализация-модели-в-xco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Пять мудрецов сидят за круглым столом и могут пребывать в двух состояниях —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—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Для запуска CPN Tools в терминале нужно прописать команду</w:t>
      </w:r>
      <w:r>
        <w:t xml:space="preserve"> </w:t>
      </w:r>
      <w:r>
        <w:rPr>
          <w:rStyle w:val="VerbatimChar"/>
        </w:rPr>
        <w:t xml:space="preserve">cpntools &amp;</w:t>
      </w:r>
      <w:r>
        <w:t xml:space="preserve">. Рисуем граф сети. Для этого с помощью контекстного меню создаём новую сеть, добавляем позиции, переход и дуги.</w:t>
      </w:r>
    </w:p>
    <w:p>
      <w:pPr>
        <w:pStyle w:val="BodyText"/>
      </w:pPr>
      <w:r>
        <w:t xml:space="preserve">Начальные данные:</w:t>
      </w:r>
    </w:p>
    <w:p>
      <w:pPr>
        <w:pStyle w:val="BodyText"/>
      </w:pPr>
      <w:r>
        <w:t xml:space="preserve">– позиции: мудрец размышляет (philosopher thinks), мудрец ест (philosopher eats), палочки находятся на столе (sticks on the table)</w:t>
      </w:r>
    </w:p>
    <w:p>
      <w:pPr>
        <w:pStyle w:val="BodyText"/>
      </w:pPr>
      <w:r>
        <w:t xml:space="preserve">– переходы: взять палочки (take sticks), положить палочки (put sticks) (рис. 1).</w:t>
      </w:r>
    </w:p>
    <w:p>
      <w:pPr>
        <w:pStyle w:val="CaptionedFigure"/>
      </w:pPr>
      <w:bookmarkStart w:id="25" w:name="fig:001"/>
      <w:r>
        <w:drawing>
          <wp:inline>
            <wp:extent cx="3695700" cy="3752850"/>
            <wp:effectExtent b="0" l="0" r="0" t="0"/>
            <wp:docPr descr="Рис. 1: Граф сети задачи об обедающих мудрецах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 сети задачи об обедающих мудрецах</w:t>
      </w:r>
    </w:p>
    <w:p>
      <w:pPr>
        <w:pStyle w:val="BodyText"/>
      </w:pPr>
      <w:r>
        <w:t xml:space="preserve">2.2. В меню задаём новые декларации модели: типы фишек, начальные значения позиций, выражения для дуг (рис. 2):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— число мудрецов и палочек</w:t>
      </w:r>
      <w:r>
        <w:t xml:space="preserve"> </w:t>
      </w:r>
      <w:r>
        <w:rPr>
          <w:rStyle w:val="VerbatimChar"/>
        </w:rPr>
        <w:t xml:space="preserve">(n = 5)</w:t>
      </w:r>
      <w:r>
        <w:t xml:space="preserve">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n</w:t>
      </w:r>
      <w:r>
        <w:t xml:space="preserve">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n</w:t>
      </w:r>
      <w:r>
        <w:t xml:space="preserve">;</w:t>
      </w:r>
    </w:p>
    <w:p>
      <w:pPr>
        <w:pStyle w:val="BodyText"/>
      </w:pPr>
      <w:r>
        <w:t xml:space="preserve">–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 кругу и мудрец</w:t>
      </w:r>
      <w:r>
        <w:t xml:space="preserve"> </w:t>
      </w:r>
      <w:r>
        <w:rPr>
          <w:rStyle w:val="VerbatimChar"/>
        </w:rPr>
        <w:t xml:space="preserve">p(i)</w:t>
      </w:r>
      <w:r>
        <w:t xml:space="preserve"> </w:t>
      </w:r>
      <w:r>
        <w:t xml:space="preserve">может взять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 + 1</w:t>
      </w:r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i = n then 1 else i+1)</w:t>
      </w:r>
    </w:p>
    <w:p>
      <w:pPr>
        <w:pStyle w:val="CaptionedFigure"/>
      </w:pPr>
      <w:bookmarkStart w:id="29" w:name="fig:002"/>
      <w:r>
        <w:drawing>
          <wp:inline>
            <wp:extent cx="1885950" cy="2139950"/>
            <wp:effectExtent b="0" l="0" r="0" t="0"/>
            <wp:docPr descr="Рис. 2: Задание деклараций задачи об обедающих мудрецах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Задание деклараций задачи об обедающих мудрецах</w:t>
      </w:r>
    </w:p>
    <w:p>
      <w:pPr>
        <w:pStyle w:val="BodyText"/>
      </w:pPr>
      <w:r>
        <w:t xml:space="preserve">В результате получаем работающую модель (рис. 3).</w:t>
      </w:r>
    </w:p>
    <w:p>
      <w:pPr>
        <w:pStyle w:val="CaptionedFigure"/>
      </w:pPr>
      <w:bookmarkStart w:id="33" w:name="fig:003"/>
      <w:r>
        <w:drawing>
          <wp:inline>
            <wp:extent cx="3365500" cy="2895600"/>
            <wp:effectExtent b="0" l="0" r="0" t="0"/>
            <wp:docPr descr="Рис. 3: Модель задачи об обедающих мудрецах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Модель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 4).</w:t>
      </w:r>
    </w:p>
    <w:p>
      <w:pPr>
        <w:pStyle w:val="CaptionedFigure"/>
      </w:pPr>
      <w:bookmarkStart w:id="37" w:name="fig:004"/>
      <w:r>
        <w:drawing>
          <wp:inline>
            <wp:extent cx="3429000" cy="3460750"/>
            <wp:effectExtent b="0" l="0" r="0" t="0"/>
            <wp:docPr descr="Рис. 4: Запуск модели задачи об обедающих мудрецах" title="" id="35" name="Picture"/>
            <a:graphic>
              <a:graphicData uri="http://schemas.openxmlformats.org/drawingml/2006/picture">
                <pic:pic>
                  <pic:nvPicPr>
                    <pic:cNvPr descr="image/7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модели задачи об обедающих мудрецах</w:t>
      </w:r>
    </w:p>
    <w:p>
      <w:pPr>
        <w:pStyle w:val="BodyText"/>
      </w:pPr>
      <w:r>
        <w:t xml:space="preserve">Также замечаем, что разные философы могут переходить из состояния</w:t>
      </w:r>
      <w:r>
        <w:t xml:space="preserve"> </w:t>
      </w:r>
      <w:r>
        <w:t xml:space="preserve">“</w:t>
      </w:r>
      <w:r>
        <w:t xml:space="preserve">думающих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t xml:space="preserve">“</w:t>
      </w:r>
      <w:r>
        <w:t xml:space="preserve">едящих</w:t>
      </w:r>
      <w:r>
        <w:t xml:space="preserve">”</w:t>
      </w:r>
      <w:r>
        <w:t xml:space="preserve"> </w:t>
      </w:r>
      <w:r>
        <w:t xml:space="preserve">(рис. 5 - 6).</w:t>
      </w:r>
    </w:p>
    <w:p>
      <w:pPr>
        <w:pStyle w:val="CaptionedFigure"/>
      </w:pPr>
      <w:bookmarkStart w:id="41" w:name="fig:005"/>
      <w:r>
        <w:drawing>
          <wp:inline>
            <wp:extent cx="3422650" cy="3492500"/>
            <wp:effectExtent b="0" l="0" r="0" t="0"/>
            <wp:docPr descr="Рис. 5: Запуск модели задачи об обедающих мудрецах. Обедает философ номер 3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Запуск модели задачи об обедающих мудрецах. Обедает философ номер 3</w:t>
      </w:r>
    </w:p>
    <w:p>
      <w:pPr>
        <w:pStyle w:val="CaptionedFigure"/>
      </w:pPr>
      <w:bookmarkStart w:id="45" w:name="fig:006"/>
      <w:r>
        <w:drawing>
          <wp:inline>
            <wp:extent cx="3822700" cy="3479800"/>
            <wp:effectExtent b="0" l="0" r="0" t="0"/>
            <wp:docPr descr="Рис. 6: Запуск модели задачи об обедающих мудрецах. Обедает философ номер 5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модели задачи об обедающих мудрецах. Обедает философ номер 5</w:t>
      </w:r>
    </w:p>
    <w:bookmarkStart w:id="50" w:name="выполнение-упражн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упражнения</w:t>
      </w:r>
    </w:p>
    <w:p>
      <w:pPr>
        <w:pStyle w:val="FirstParagraph"/>
      </w:pPr>
      <w:r>
        <w:t xml:space="preserve">Прежде чем приступить к вычислению пространства состояний, необходимо сформировать код для этого пространства. Это делается с помощью инструмента</w:t>
      </w:r>
      <w:r>
        <w:t xml:space="preserve"> </w:t>
      </w:r>
      <w:r>
        <w:t xml:space="preserve">“</w:t>
      </w:r>
      <w:r>
        <w:t xml:space="preserve">Войти в пространство состояний</w:t>
      </w:r>
      <w:r>
        <w:t xml:space="preserve">”</w:t>
      </w:r>
      <w:r>
        <w:t xml:space="preserve">, который может занять некоторое время.</w:t>
      </w:r>
      <w:r>
        <w:t xml:space="preserve"> </w:t>
      </w:r>
      <w:r>
        <w:t xml:space="preserve">Если ожидается небольшое пространство состояний, можно напрямую применить инструмент</w:t>
      </w:r>
      <w:r>
        <w:t xml:space="preserve"> </w:t>
      </w:r>
      <w:r>
        <w:t xml:space="preserve">“</w:t>
      </w:r>
      <w:r>
        <w:t xml:space="preserve">Вычислить пространство состояний</w:t>
      </w:r>
      <w:r>
        <w:t xml:space="preserve">”</w:t>
      </w:r>
      <w:r>
        <w:t xml:space="preserve"> </w:t>
      </w:r>
      <w:r>
        <w:t xml:space="preserve">к странице сети.</w:t>
      </w:r>
    </w:p>
    <w:p>
      <w:pPr>
        <w:pStyle w:val="BodyText"/>
      </w:pPr>
      <w:r>
        <w:t xml:space="preserve">После вычисления пространства состояний формируем отчёт. Чтобы сохранить отчёт, используем инструмент</w:t>
      </w:r>
      <w:r>
        <w:t xml:space="preserve"> </w:t>
      </w:r>
      <w:r>
        <w:t xml:space="preserve">“</w:t>
      </w:r>
      <w:r>
        <w:t xml:space="preserve">Сохранить отчет о пространстве состояний</w:t>
      </w:r>
      <w:r>
        <w:t xml:space="preserve">”</w:t>
      </w:r>
      <w:r>
        <w:t xml:space="preserve"> </w:t>
      </w:r>
      <w:r>
        <w:t xml:space="preserve">и указываем имя файла.</w:t>
      </w:r>
      <w:r>
        <w:t xml:space="preserve"> </w:t>
      </w:r>
      <w:r>
        <w:t xml:space="preserve">Получим такой отчет: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/home/openmodelica/Documents/cpntools/lab10.cpn</w:t>
      </w:r>
      <w:r>
        <w:br/>
      </w:r>
      <w:r>
        <w:rPr>
          <w:rStyle w:val="VerbatimChar"/>
        </w:rPr>
        <w:t xml:space="preserve">Report generated: Fri Apr 11 18:38:11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philosopher'philisopher_eats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philosopher'philisopher_thinks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philosopher'philisopher_eats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philosopher'philisopher_thinks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philosopher'philisopher_eats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philosopher'philisopher_thinks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</w:p>
    <w:p>
      <w:pPr>
        <w:pStyle w:val="FirstParagraph"/>
      </w:pPr>
      <w:r>
        <w:t xml:space="preserve">Отчет предоставляет информацию о состоянии пространства состояний, связности графа сильно связных компонентов (Scc Graph), ограниченности, домашних разметках, живости и справедливости переходов.</w:t>
      </w:r>
    </w:p>
    <w:p>
      <w:pPr>
        <w:numPr>
          <w:ilvl w:val="0"/>
          <w:numId w:val="1003"/>
        </w:numPr>
      </w:pPr>
      <w:r>
        <w:t xml:space="preserve">Пространство Состояний: Полностью построено с 11 узлами и 30 дугами, что указывает на небольшую и простую модель.</w:t>
      </w:r>
    </w:p>
    <w:p>
      <w:pPr>
        <w:numPr>
          <w:ilvl w:val="0"/>
          <w:numId w:val="1003"/>
        </w:numPr>
      </w:pPr>
      <w:r>
        <w:t xml:space="preserve">Граф Сильно Связных Компонентов: Одна компонента без дуг, что может указывать на детерминированное поведение.</w:t>
      </w:r>
    </w:p>
    <w:p>
      <w:pPr>
        <w:numPr>
          <w:ilvl w:val="0"/>
          <w:numId w:val="1003"/>
        </w:numPr>
      </w:pPr>
      <w:r>
        <w:t xml:space="preserve">Ограниченность: Модель имеет целочисленные ограничения на количество философов и палочек, например, от 0 до 2 философов, которые едят, и от 1 до 5 палочек на столе.</w:t>
      </w:r>
    </w:p>
    <w:p>
      <w:pPr>
        <w:numPr>
          <w:ilvl w:val="0"/>
          <w:numId w:val="1003"/>
        </w:numPr>
      </w:pPr>
      <w:r>
        <w:t xml:space="preserve">Домашние Разметки и Живость: Все состояния достижимы из начального состояния и обратно, нет мертвых разметок или переходов, что указывает на стабильность и отсутствие блокировок.</w:t>
      </w:r>
    </w:p>
    <w:p>
      <w:pPr>
        <w:numPr>
          <w:ilvl w:val="0"/>
          <w:numId w:val="1003"/>
        </w:numPr>
      </w:pPr>
      <w:r>
        <w:t xml:space="preserve">Справедливость: Переходы по взятию и положению палочек беспристрастны.</w:t>
      </w:r>
    </w:p>
    <w:p>
      <w:pPr>
        <w:pStyle w:val="FirstParagraph"/>
      </w:pPr>
      <w:r>
        <w:t xml:space="preserve">Построенный граф пространства состояний (рис. 7).</w:t>
      </w:r>
    </w:p>
    <w:p>
      <w:pPr>
        <w:pStyle w:val="CaptionedFigure"/>
      </w:pPr>
      <w:bookmarkStart w:id="49" w:name="fig:007"/>
      <w:r>
        <w:drawing>
          <wp:inline>
            <wp:extent cx="5334000" cy="4353095"/>
            <wp:effectExtent b="0" l="0" r="0" t="0"/>
            <wp:docPr descr="Рис. 7: Пространство состояний для модели «Накорми студентов»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3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Пространство состояний для модели «Накорми студентов»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реализовала задачу обедающий мудрецов с помощью CPN Tools.</w:t>
      </w:r>
    </w:p>
    <w:bookmarkEnd w:id="52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Королькова А.В., Кулябов Д.С. Руководство к лабораторной работе №10. Моделирование информационных процессов. Задача об обедающих мудрецах - 2025. — 3 с.</w:t>
      </w:r>
    </w:p>
    <w:p>
      <w:pPr>
        <w:numPr>
          <w:ilvl w:val="0"/>
          <w:numId w:val="1004"/>
        </w:numPr>
        <w:pStyle w:val="Compact"/>
      </w:pPr>
      <w:r>
        <w:t xml:space="preserve">Modeling with Coloured Petri Nets [Электронный ресурс] // URL: https://cpntools.org/2018/01/16/getting-started.</w:t>
      </w:r>
    </w:p>
    <w:p>
      <w:pPr>
        <w:numPr>
          <w:ilvl w:val="0"/>
          <w:numId w:val="1004"/>
        </w:numPr>
        <w:pStyle w:val="Compact"/>
      </w:pPr>
      <w:r>
        <w:t xml:space="preserve">Jensen K., Kristensen L.M., Wells L. Coloured Petri Nets and CPN Tools for Modelling and Validation of Concurrent Systems // Software Tools for Technology Transfer. 2007. — URL: https://cs.au.dk/fileadmin/site_files/cs/research_areas/centers_and_projects/sttt2007.pdf.</w:t>
      </w:r>
    </w:p>
    <w:p>
      <w:pPr>
        <w:numPr>
          <w:ilvl w:val="0"/>
          <w:numId w:val="1004"/>
        </w:numPr>
        <w:pStyle w:val="Compact"/>
      </w:pPr>
      <w:r>
        <w:t xml:space="preserve">Ratzer A.V., Wells L., Lassen H.M., et al. CPN Tools for Editing, Simulating, and Analysing Coloured Petri Nets // ICATPN Proceedings, 2003 — URL: https://api.semanticscholar.org/CorpusID:12059006.</w:t>
      </w:r>
    </w:p>
    <w:p>
      <w:pPr>
        <w:numPr>
          <w:ilvl w:val="0"/>
          <w:numId w:val="1004"/>
        </w:numPr>
        <w:pStyle w:val="Compact"/>
      </w:pPr>
      <w:r>
        <w:t xml:space="preserve">Beaudouin-Lafon M., Mackay W.E., Andersen P., et al. Editing and Simulating Coloured Petri Nets // CPNTools.doc, University of Aarhus, 2000 — URL: https://www.lri.fr/~mbl/papers/PN2000/paper.pdf.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34" Target="media/rId34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Астраханцева А. А.</dc:creator>
  <dc:language>ru-RU</dc:language>
  <cp:keywords/>
  <dcterms:created xsi:type="dcterms:W3CDTF">2025-04-11T18:31:23Z</dcterms:created>
  <dcterms:modified xsi:type="dcterms:W3CDTF">2025-04-11T18:31:23Z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Задача об обедающих мудрецах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