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6.jpg" ContentType="image/jpeg"/>
  <Override PartName="/word/media/rId64.jpg" ContentType="image/jpeg"/>
  <Override PartName="/word/media/rId68.jpg" ContentType="image/jpeg"/>
  <Override PartName="/word/media/rId52.jpg" ContentType="image/jpeg"/>
  <Override PartName="/word/media/rId60.jpg" ContentType="image/jpeg"/>
  <Override PartName="/word/media/rId72.jpg" ContentType="image/jpeg"/>
  <Override PartName="/word/media/rId80.jpg" ContentType="image/jpeg"/>
  <Override PartName="/word/media/rId76.jpg" ContentType="image/jpeg"/>
  <Override PartName="/word/media/rId27.jpg" ContentType="image/jpeg"/>
  <Override PartName="/word/media/rId88.jpg" ContentType="image/jpeg"/>
  <Override PartName="/word/media/rId84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1"/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1" w:name="описание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 (рис. 1), на втором — генератор заявок (рис. 2), на третьем — сервер обработки 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 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bookmarkStart w:id="26" w:name="fig:001"/>
      <w:r>
        <w:drawing>
          <wp:inline>
            <wp:extent cx="4927600" cy="2749550"/>
            <wp:effectExtent b="0" l="0" r="0" t="0"/>
            <wp:docPr descr="Рис. 1: Граф сети системы обработки заявок в очеред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 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 распределение поступления заявок по экспоненциальному закону с нтенсивностью 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bookmarkStart w:id="30" w:name="fig:002"/>
      <w:r>
        <w:drawing>
          <wp:inline>
            <wp:extent cx="4940300" cy="939800"/>
            <wp:effectExtent b="0" l="0" r="0" t="0"/>
            <wp:docPr descr="Рис. 2: Граф генератора заявок систе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 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акончить обработку заявки).</w:t>
      </w:r>
    </w:p>
    <w:p>
      <w:pPr>
        <w:pStyle w:val="CaptionedFigure"/>
      </w:pPr>
      <w:bookmarkStart w:id="34" w:name="fig:003"/>
      <w:r>
        <w:drawing>
          <wp:inline>
            <wp:extent cx="5200650" cy="1600200"/>
            <wp:effectExtent b="0" l="0" r="0" t="0"/>
            <wp:docPr descr="Рис. 3: Граф процесса обработки заявок на сервере систем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 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кспоненциальному закону;</w:t>
      </w:r>
    </w:p>
    <w:p>
      <w:pPr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 заявки (A или B).</w:t>
      </w:r>
    </w:p>
    <w:p>
      <w:pPr>
        <w:pStyle w:val="CaptionedFigure"/>
      </w:pPr>
      <w:bookmarkStart w:id="38" w:name="fig:004"/>
      <w:r>
        <w:drawing>
          <wp:inline>
            <wp:extent cx="1962150" cy="2108200"/>
            <wp:effectExtent b="0" l="0" r="0" t="0"/>
            <wp:docPr descr="Рис. 4: Задание деклараций систе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bookmarkStart w:id="42" w:name="fig:005"/>
      <w:r>
        <w:drawing>
          <wp:inline>
            <wp:extent cx="4724400" cy="901700"/>
            <wp:effectExtent b="0" l="0" r="0" t="0"/>
            <wp:docPr descr="Рис. 5: Параметры элементов основного графа системы обработки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6):</w:t>
      </w:r>
    </w:p>
    <w:p>
      <w:pPr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</w:p>
    <w:p>
      <w:pPr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 поступлениями заявок;</w:t>
      </w:r>
    </w:p>
    <w:p>
      <w:pPr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 фишки;</w:t>
      </w:r>
    </w:p>
    <w:p>
      <w:pPr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 поступление заявки в очередь;</w:t>
      </w:r>
    </w:p>
    <w:p>
      <w:pPr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 связь.</w:t>
      </w:r>
    </w:p>
    <w:p>
      <w:pPr>
        <w:pStyle w:val="CaptionedFigure"/>
      </w:pPr>
      <w:bookmarkStart w:id="46" w:name="fig:006"/>
      <w:r>
        <w:drawing>
          <wp:inline>
            <wp:extent cx="5334000" cy="1604920"/>
            <wp:effectExtent b="0" l="0" r="0" t="0"/>
            <wp:docPr descr="Рис. 6: Параметры элементов генератора заявок систем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Параметры элементов генератора заявок системы</w:t>
      </w:r>
    </w:p>
    <w:p>
      <w:pPr>
        <w:pStyle w:val="BodyText"/>
      </w:pPr>
      <w:r>
        <w:t xml:space="preserve">На листе Server (рис. 7):</w:t>
      </w:r>
    </w:p>
    <w:p>
      <w:pPr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 обслуживание;</w:t>
      </w:r>
    </w:p>
    <w:p>
      <w:pPr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 временем обработки в 90 единиц времени;</w:t>
      </w:r>
    </w:p>
    <w:p>
      <w:pPr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 что сервер может начать обработку заявки, если в очереди есть хотя бы одна заявка;</w:t>
      </w:r>
    </w:p>
    <w:p>
      <w:pPr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бработки заявки на сервере;</w:t>
      </w:r>
    </w:p>
    <w:p>
      <w:pPr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 о завершении обработки заявки на сервере;</w:t>
      </w:r>
    </w:p>
    <w:p>
      <w:pPr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 заявка считается обслуженной;</w:t>
      </w:r>
    </w:p>
    <w:p>
      <w:pPr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 сервера (обрабатывает заявки или ожидает);</w:t>
      </w:r>
    </w:p>
    <w:p>
      <w:pPr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 связь.</w:t>
      </w:r>
    </w:p>
    <w:p>
      <w:pPr>
        <w:pStyle w:val="CaptionedFigure"/>
      </w:pPr>
      <w:bookmarkStart w:id="50" w:name="fig:007"/>
      <w:r>
        <w:drawing>
          <wp:inline>
            <wp:extent cx="5264150" cy="2228850"/>
            <wp:effectExtent b="0" l="0" r="0" t="0"/>
            <wp:docPr descr="Рис. 7: Параметры элементов обработчика заявок системы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51"/>
    <w:bookmarkStart w:id="92" w:name="X064ddc7dd2d7c16b1ffbb5b3d20df092cd9b74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p>
      <w:pPr>
        <w:pStyle w:val="CaptionedFigure"/>
      </w:pPr>
      <w:bookmarkStart w:id="55" w:name="fig:008"/>
      <w:r>
        <w:drawing>
          <wp:inline>
            <wp:extent cx="3124200" cy="1206500"/>
            <wp:effectExtent b="0" l="0" r="0" t="0"/>
            <wp:docPr descr="Рис. 8: Функция Predicate монитора Ostanovka" title="" id="53" name="Picture"/>
            <a:graphic>
              <a:graphicData uri="http://schemas.openxmlformats.org/drawingml/2006/picture">
                <pic:pic>
                  <pic:nvPicPr>
                    <pic:cNvPr descr="image/15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p>
      <w:pPr>
        <w:pStyle w:val="CaptionedFigure"/>
      </w:pPr>
      <w:bookmarkStart w:id="59" w:name="fig:009"/>
      <w:r>
        <w:drawing>
          <wp:inline>
            <wp:extent cx="3479800" cy="1168400"/>
            <wp:effectExtent b="0" l="0" r="0" t="0"/>
            <wp:docPr descr="Рис. 9: Функция Observer монитора Queue Delay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bookmarkStart w:id="63" w:name="fig:010"/>
      <w:r>
        <w:drawing>
          <wp:inline>
            <wp:extent cx="5334000" cy="3779495"/>
            <wp:effectExtent b="0" l="0" r="0" t="0"/>
            <wp:docPr descr="Рис. 10: Файл Queue_Delay.log" title="" id="61" name="Picture"/>
            <a:graphic>
              <a:graphicData uri="http://schemas.openxmlformats.org/drawingml/2006/picture">
                <pic:pic>
                  <pic:nvPicPr>
                    <pic:cNvPr descr="image/16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gnuplot</w:t>
      </w:r>
      <w:r>
        <w:br/>
      </w:r>
      <w:r>
        <w:rPr>
          <w:rStyle w:val="VerbatimChar"/>
        </w:rPr>
        <w:t xml:space="preserve">set termnal png</w:t>
      </w:r>
      <w:r>
        <w:br/>
      </w:r>
      <w:r>
        <w:rPr>
          <w:rStyle w:val="VerbatimChar"/>
        </w:rPr>
        <w:t xml:space="preserve">set output "plot.png"</w:t>
      </w:r>
      <w:r>
        <w:br/>
      </w:r>
      <w:r>
        <w:rPr>
          <w:rStyle w:val="VerbatimChar"/>
        </w:rPr>
        <w:t xml:space="preserve">plot "Queue_Delay.log" using ($4):($1) with lines</w:t>
      </w:r>
      <w:r>
        <w:br/>
      </w:r>
      <w:r>
        <w:rPr>
          <w:rStyle w:val="VerbatimChar"/>
        </w:rPr>
        <w:t xml:space="preserve">quit</w:t>
      </w:r>
    </w:p>
    <w:p>
      <w:pPr>
        <w:pStyle w:val="CaptionedFigure"/>
      </w:pPr>
      <w:bookmarkStart w:id="67" w:name="fig:011"/>
      <w:r>
        <w:drawing>
          <wp:inline>
            <wp:extent cx="5334000" cy="4052908"/>
            <wp:effectExtent b="0" l="0" r="0" t="0"/>
            <wp:docPr descr="Рис. 11: График изменения задержки в очереди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p>
      <w:pPr>
        <w:pStyle w:val="CaptionedFigure"/>
      </w:pPr>
      <w:bookmarkStart w:id="71" w:name="fig:012"/>
      <w:r>
        <w:drawing>
          <wp:inline>
            <wp:extent cx="2692400" cy="1257300"/>
            <wp:effectExtent b="0" l="0" r="0" t="0"/>
            <wp:docPr descr="Рис. 12: Функция Observer монитора Queue Delay Real" title="" id="69" name="Picture"/>
            <a:graphic>
              <a:graphicData uri="http://schemas.openxmlformats.org/drawingml/2006/picture">
                <pic:pic>
                  <pic:nvPicPr>
                    <pic:cNvPr descr="image/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p>
      <w:pPr>
        <w:pStyle w:val="CaptionedFigure"/>
      </w:pPr>
      <w:bookmarkStart w:id="75" w:name="fig:013"/>
      <w:r>
        <w:drawing>
          <wp:inline>
            <wp:extent cx="5334000" cy="2796014"/>
            <wp:effectExtent b="0" l="0" r="0" t="0"/>
            <wp:docPr descr="Рис. 13: Содержимое Queue_Delay_Real.log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p>
      <w:pPr>
        <w:pStyle w:val="CaptionedFigure"/>
      </w:pPr>
      <w:bookmarkStart w:id="79" w:name="fig:014"/>
      <w:r>
        <w:drawing>
          <wp:inline>
            <wp:extent cx="2514600" cy="927100"/>
            <wp:effectExtent b="0" l="0" r="0" t="0"/>
            <wp:docPr descr="Рис. 14: Функция Observer монитора Long Delay Time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p>
      <w:pPr>
        <w:pStyle w:val="CaptionedFigure"/>
      </w:pPr>
      <w:bookmarkStart w:id="83" w:name="fig:015"/>
      <w:r>
        <w:drawing>
          <wp:inline>
            <wp:extent cx="1771650" cy="457200"/>
            <wp:effectExtent b="0" l="0" r="0" t="0"/>
            <wp:docPr descr="Рис. 15: Определение longdelaytime в декларациях" title="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p>
      <w:pPr>
        <w:pStyle w:val="CaptionedFigure"/>
      </w:pPr>
      <w:bookmarkStart w:id="87" w:name="fig:016"/>
      <w:r>
        <w:drawing>
          <wp:inline>
            <wp:extent cx="3822700" cy="5549900"/>
            <wp:effectExtent b="0" l="0" r="0" t="0"/>
            <wp:docPr descr="Рис. 16: Содержимое Long_Delay_Time.log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Содержимое Long_Delay_Time.log</w:t>
      </w:r>
    </w:p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gnuplot</w:t>
      </w:r>
      <w:r>
        <w:br/>
      </w:r>
      <w:r>
        <w:rPr>
          <w:rStyle w:val="VerbatimChar"/>
        </w:rPr>
        <w:t xml:space="preserve">set termnal png</w:t>
      </w:r>
      <w:r>
        <w:br/>
      </w:r>
      <w:r>
        <w:rPr>
          <w:rStyle w:val="VerbatimChar"/>
        </w:rPr>
        <w:t xml:space="preserve">set output "plot2.png"</w:t>
      </w:r>
      <w:r>
        <w:br/>
      </w:r>
      <w:r>
        <w:rPr>
          <w:rStyle w:val="VerbatimChar"/>
        </w:rPr>
        <w:t xml:space="preserve">set yrange [0:1.2]</w:t>
      </w:r>
      <w:r>
        <w:br/>
      </w:r>
      <w:r>
        <w:rPr>
          <w:rStyle w:val="VerbatimChar"/>
        </w:rPr>
        <w:t xml:space="preserve">plot [0:] [0:1.2] "Long_Delay_Time.log" using ($4):($1) with lines</w:t>
      </w:r>
      <w:r>
        <w:br/>
      </w:r>
      <w:r>
        <w:rPr>
          <w:rStyle w:val="VerbatimChar"/>
        </w:rPr>
        <w:t xml:space="preserve">quit</w:t>
      </w:r>
    </w:p>
    <w:p>
      <w:pPr>
        <w:pStyle w:val="CaptionedFigure"/>
      </w:pPr>
      <w:bookmarkStart w:id="91" w:name="fig:017"/>
      <w:r>
        <w:drawing>
          <wp:inline>
            <wp:extent cx="4064000" cy="3003550"/>
            <wp:effectExtent b="0" l="0" r="0" t="0"/>
            <wp:docPr descr="Рис. 17: Периоды времени, когда значения задержки в очереди превышали заданное значение" title="" id="89" name="Picture"/>
            <a:graphic>
              <a:graphicData uri="http://schemas.openxmlformats.org/drawingml/2006/picture">
                <pic:pic>
                  <pic:nvPicPr>
                    <pic:cNvPr descr="image/20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4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Королькова А.В., Кулябов Д.С. Руководство к лабораторной работе №11. Моделирование информационных процессов. Модель системы массового обслуживания M|M|1 - 2025. — 10 с.</w:t>
      </w:r>
    </w:p>
    <w:p>
      <w:pPr>
        <w:numPr>
          <w:ilvl w:val="0"/>
          <w:numId w:val="1008"/>
        </w:numPr>
        <w:pStyle w:val="Compact"/>
      </w:pPr>
      <w:r>
        <w:t xml:space="preserve">Modeling with Coloured Petri Nets [Электронный ресурс] // URL: https://cpntools.org/2018/01/16/getting-started.</w:t>
      </w:r>
    </w:p>
    <w:p>
      <w:pPr>
        <w:numPr>
          <w:ilvl w:val="0"/>
          <w:numId w:val="1008"/>
        </w:numPr>
        <w:pStyle w:val="Compact"/>
      </w:pPr>
      <w:r>
        <w:t xml:space="preserve">Jensen K., Kristensen L.M., Wells L. Coloured Petri Nets and CPN Tools for Modelling and Validation of Concurrent Systems // Software Tools for Technology Transfer. 2007. — URL: https://cs.au.dk/fileadmin/site_files/cs/research_areas/centers_and_projects/sttt2007.pdf.</w:t>
      </w:r>
    </w:p>
    <w:p>
      <w:pPr>
        <w:numPr>
          <w:ilvl w:val="0"/>
          <w:numId w:val="1008"/>
        </w:numPr>
        <w:pStyle w:val="Compact"/>
      </w:pPr>
      <w:r>
        <w:t xml:space="preserve">Ratzer A.V., Wells L., Lassen H.M., et al. CPN Tools for Editing, Simulating, and Analysing Coloured Petri Nets // ICATPN Proceedings, 2003 — URL: https://api.semanticscholar.org/CorpusID:12059006.</w:t>
      </w:r>
    </w:p>
    <w:p>
      <w:pPr>
        <w:numPr>
          <w:ilvl w:val="0"/>
          <w:numId w:val="1008"/>
        </w:numPr>
        <w:pStyle w:val="Compact"/>
      </w:pPr>
      <w:r>
        <w:t xml:space="preserve">Beaudouin-Lafon M., Mackay W.E., Andersen P., et al. Editing and Simulating Coloured Petri Nets // CPNTools.doc, University of Aarhus, 2000 — URL: https://www.lri.fr/~mbl/papers/PN2000/paper.pdf.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6" Target="media/rId56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72" Target="media/rId72.jpg" /><Relationship Type="http://schemas.openxmlformats.org/officeDocument/2006/relationships/image" Id="rId80" Target="media/rId80.jpg" /><Relationship Type="http://schemas.openxmlformats.org/officeDocument/2006/relationships/image" Id="rId76" Target="media/rId76.jpg" /><Relationship Type="http://schemas.openxmlformats.org/officeDocument/2006/relationships/image" Id="rId27" Target="media/rId27.jpg" /><Relationship Type="http://schemas.openxmlformats.org/officeDocument/2006/relationships/image" Id="rId88" Target="media/rId88.jpg" /><Relationship Type="http://schemas.openxmlformats.org/officeDocument/2006/relationships/image" Id="rId84" Target="media/rId84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Астраханцева А. А.</dc:creator>
  <dc:language>ru-RU</dc:language>
  <cp:keywords/>
  <dcterms:created xsi:type="dcterms:W3CDTF">2025-04-18T17:03:04Z</dcterms:created>
  <dcterms:modified xsi:type="dcterms:W3CDTF">2025-04-18T17:03:04Z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системы массового обслуживания M|M|1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