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GPSS (General Purpose Simulation System) — это один из первых специализированных языков программирования для имитационного моделирования, созданный в 1961 году американским инженером Джеффри Гордоном в корпорации IBM. Первоначально язык разрабатывался для нужд моделирования сложных логистических и производственных процессов в промышленных и военных системах, где требовался учёт случайных событий и взаимодействия большого количества объектов во времени.</w:t>
      </w:r>
    </w:p>
    <w:p>
      <w:pPr>
        <w:pStyle w:val="BodyText"/>
      </w:pPr>
      <w:r>
        <w:t xml:space="preserve">GPSS стал знаковым инструментом в истории моделирования: он заложил основы событийного подхода и ввёл понятие транзакта как активного объекта, перемещающегося по блокам логики системы. Эти концепции впоследствии легли в основу многих других языков и программных сред моделирования. Благодаря модульной структуре и простой записи моделей, GPSS получил широкое распространение в университетах и научных учреждениях как средство обучения и анализа дискретных систем.</w:t>
      </w:r>
    </w:p>
    <w:p>
      <w:pPr>
        <w:pStyle w:val="BodyText"/>
      </w:pPr>
      <w:r>
        <w:t xml:space="preserve">Практическое применение GPSS охватывает широкий спектр задач:</w:t>
      </w:r>
    </w:p>
    <w:p>
      <w:pPr>
        <w:numPr>
          <w:ilvl w:val="0"/>
          <w:numId w:val="1002"/>
        </w:numPr>
      </w:pPr>
      <w:r>
        <w:t xml:space="preserve">Организация работы производственных цехов: моделирование потока деталей между станками, учёт времени обработки, простоев и загрузки оборудования;</w:t>
      </w:r>
    </w:p>
    <w:p>
      <w:pPr>
        <w:numPr>
          <w:ilvl w:val="0"/>
          <w:numId w:val="1002"/>
        </w:numPr>
      </w:pPr>
      <w:r>
        <w:t xml:space="preserve">Системы массового обслуживания: моделирование очередей в банках, поликлиниках, аэропортах с целью оценки времени ожидания и необходимости в дополнительном персонале;</w:t>
      </w:r>
    </w:p>
    <w:p>
      <w:pPr>
        <w:numPr>
          <w:ilvl w:val="0"/>
          <w:numId w:val="1002"/>
        </w:numPr>
      </w:pPr>
      <w:r>
        <w:t xml:space="preserve">Логистика и склады: моделирование перемещения товаров между зонами хранения, погрузки и разгрузки, анализ загрузки транспортных средств;</w:t>
      </w:r>
    </w:p>
    <w:p>
      <w:pPr>
        <w:numPr>
          <w:ilvl w:val="0"/>
          <w:numId w:val="1002"/>
        </w:numPr>
      </w:pPr>
      <w:r>
        <w:t xml:space="preserve">Транспорт: моделирование движения автобусов, поездов, планирование расписаний с учётом времени на посадку и высадку пассажиров;</w:t>
      </w:r>
    </w:p>
    <w:p>
      <w:pPr>
        <w:numPr>
          <w:ilvl w:val="0"/>
          <w:numId w:val="1002"/>
        </w:numPr>
      </w:pPr>
      <w:r>
        <w:t xml:space="preserve">Военные приложения: планирование операций снабжения, имитация действий в сложных логистических цепочках.</w:t>
      </w:r>
    </w:p>
    <w:p>
      <w:pPr>
        <w:pStyle w:val="FirstParagraph"/>
      </w:pPr>
      <w:r>
        <w:t xml:space="preserve">Одним из достоинств GPSS является то, что язык допускает использование случайных величин (например, времени обслуживания или интервалов между заявками), что позволяет создавать реалистичные модели, приближенные к поведению реальных систем. Также GPSS даёт возможность легко собирать статистику по ключевым метрикам: времени пребывания объектов в системе, загрузке ресурсов, количеству отказов и пр.</w:t>
      </w:r>
    </w:p>
    <w:p>
      <w:pPr>
        <w:pStyle w:val="BodyText"/>
      </w:pPr>
      <w:r>
        <w:t xml:space="preserve">Несмотря на то, что с момента своего создания прошло более шестидесяти лет, GPSS продолжает использоваться как в учебных целях, так и в инженерной практике благодаря своей простоте, наглядности и эффективности в решении прикладных задач, связанных с анализом и оптимизацией дискретных процессов.</w:t>
      </w:r>
    </w:p>
    <w:p>
      <w:pPr>
        <w:pStyle w:val="BodyText"/>
      </w:pPr>
      <w:r>
        <w:t xml:space="preserve">[1,2]</w:t>
      </w:r>
      <w:r>
        <w:t xml:space="preserve">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Xb516a3146786bc3f8ee1a71dd1a2b522cd128c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3"/>
        </w:numPr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3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3"/>
        </w:numPr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3"/>
        </w:numPr>
      </w:pPr>
      <w:r>
        <w:t xml:space="preserve">оператор оформляет заказ;</w:t>
      </w:r>
    </w:p>
    <w:p>
      <w:pPr>
        <w:numPr>
          <w:ilvl w:val="0"/>
          <w:numId w:val="1003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fig. 1).</w:t>
      </w:r>
    </w:p>
    <w:p>
      <w:pPr>
        <w:pStyle w:val="CaptionedFigure"/>
      </w:pPr>
      <w:bookmarkStart w:id="26" w:name="fig:001"/>
      <w:r>
        <w:drawing>
          <wp:inline>
            <wp:extent cx="2012950" cy="2755900"/>
            <wp:effectExtent b="0" l="0" r="0" t="0"/>
            <wp:docPr descr="Рис. 1: Модель оформления заказов клиентов одним оператором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fig. 2).</w:t>
      </w:r>
    </w:p>
    <w:p>
      <w:pPr>
        <w:pStyle w:val="CaptionedFigure"/>
      </w:pPr>
      <w:bookmarkStart w:id="30" w:name="fig:002"/>
      <w:r>
        <w:drawing>
          <wp:inline>
            <wp:extent cx="5137150" cy="4489450"/>
            <wp:effectExtent b="0" l="0" r="0" t="0"/>
            <wp:docPr descr="Рис. 2: Отчёт по модели оформления заказов в интернет-магазине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48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4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4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4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4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4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6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6"/>
        </w:numPr>
      </w:pPr>
      <w:r>
        <w:t xml:space="preserve">PRI=0 – все клиенты (из заявки) равноправны;</w:t>
      </w:r>
    </w:p>
    <w:p>
      <w:pPr>
        <w:numPr>
          <w:ilvl w:val="0"/>
          <w:numId w:val="1006"/>
        </w:numPr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6"/>
        </w:numPr>
      </w:pPr>
      <w:r>
        <w:t xml:space="preserve">ASSEM=33 – номер семейства транзактов;</w:t>
      </w:r>
    </w:p>
    <w:p>
      <w:pPr>
        <w:numPr>
          <w:ilvl w:val="0"/>
          <w:numId w:val="1006"/>
        </w:numPr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6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Скорректируйте модель в соответствии с изменениями входных</w:t>
      </w:r>
      <w:r>
        <w:t xml:space="preserve"> </w:t>
      </w:r>
      <w:r>
        <w:t xml:space="preserve">данных: интервалы поступления заказов распределены равномерно с интервалом</w:t>
      </w:r>
      <w:r>
        <w:t xml:space="preserve"> </w:t>
      </w:r>
      <w:r>
        <w:t xml:space="preserve">3.14 ± 1.7 мин; время оформления заказа также распределено равномерно на интер-</w:t>
      </w:r>
      <w:r>
        <w:t xml:space="preserve"> </w:t>
      </w:r>
      <w:r>
        <w:t xml:space="preserve">вале 6.66 ± 1.7 мин. Проанализируйте отчёт, сравнив результаты с результатами</w:t>
      </w:r>
      <w:r>
        <w:t xml:space="preserve"> </w:t>
      </w:r>
      <w:r>
        <w:t xml:space="preserve">предыдущего моделирования.</w:t>
      </w:r>
    </w:p>
    <w:p>
      <w:pPr>
        <w:pStyle w:val="BodyText"/>
      </w:pPr>
      <w:r>
        <w:t xml:space="preserve">Изменияем строки GENERATE и ADVANCE (рис. fig. 3).</w:t>
      </w:r>
    </w:p>
    <w:p>
      <w:pPr>
        <w:pStyle w:val="CaptionedFigure"/>
      </w:pPr>
      <w:bookmarkStart w:id="34" w:name="fig:003"/>
      <w:r>
        <w:drawing>
          <wp:inline>
            <wp:extent cx="1955800" cy="2857500"/>
            <wp:effectExtent b="0" l="0" r="0" t="0"/>
            <wp:docPr descr="Рис. 3: Модель оформления заказов клиентов одним оператором, упражнение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Модель оформления заказов клиентов одним оператором, упражнение</w:t>
      </w:r>
    </w:p>
    <w:p>
      <w:pPr>
        <w:pStyle w:val="BodyText"/>
      </w:pPr>
      <w:r>
        <w:t xml:space="preserve">После запуска симуляции получаем отчёт (рис. fig. 4).</w:t>
      </w:r>
    </w:p>
    <w:p>
      <w:pPr>
        <w:pStyle w:val="CaptionedFigure"/>
      </w:pPr>
      <w:bookmarkStart w:id="38" w:name="fig:004"/>
      <w:r>
        <w:drawing>
          <wp:inline>
            <wp:extent cx="4641850" cy="4286250"/>
            <wp:effectExtent b="0" l="0" r="0" t="0"/>
            <wp:docPr descr="Рис. 4: Отчёт по модели оформления заказов в интернет-магазине, упражнение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Отчёт по модели оформления заказов в интернет-магазине, упражнение</w:t>
      </w:r>
    </w:p>
    <w:p>
      <w:pPr>
        <w:pStyle w:val="BodyText"/>
      </w:pPr>
      <w:r>
        <w:t xml:space="preserve">Проанализируем отчёт:</w:t>
      </w:r>
    </w:p>
    <w:p>
      <w:pPr>
        <w:numPr>
          <w:ilvl w:val="0"/>
          <w:numId w:val="1007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7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7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7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7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 = 151.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72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=72),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=71). Полезность работы оператора составила 0,991. При этом среднее время занятости оператора составило 6,7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MAX</w:t>
      </w:r>
      <w:r>
        <w:t xml:space="preserve">= 80 – в очереди находилось 82 ожидающих заявки от клиента;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CONT</w:t>
      </w:r>
      <w:r>
        <w:t xml:space="preserve">= 80 – на момент завершения моделирования очередь была полна (82 заявки);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</w:t>
      </w:r>
      <w:r>
        <w:t xml:space="preserve">= 151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ENTRIES(O)</w:t>
      </w:r>
      <w:r>
        <w:t xml:space="preserve">= 1 – число заявок от клиентов, попавших к оператору без ожидания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AVE.CONT</w:t>
      </w:r>
      <w:r>
        <w:t xml:space="preserve">= 38,534 заявок от клиентов в среднем были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AVE.TIME</w:t>
      </w:r>
      <w:r>
        <w:t xml:space="preserve"> </w:t>
      </w:r>
      <w:r>
        <w:t xml:space="preserve">= 122,491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AVE.(–0)</w:t>
      </w:r>
      <w:r>
        <w:t xml:space="preserve">=123,307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9"/>
    <w:bookmarkStart w:id="56" w:name="X465a88959967afd60072016bbed87fa0eb59b1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fig. 5).</w:t>
      </w:r>
    </w:p>
    <w:p>
      <w:pPr>
        <w:pStyle w:val="CaptionedFigure"/>
      </w:pPr>
      <w:bookmarkStart w:id="43" w:name="fig:005"/>
      <w:r>
        <w:drawing>
          <wp:inline>
            <wp:extent cx="4044950" cy="2489200"/>
            <wp:effectExtent b="0" l="0" r="0" t="0"/>
            <wp:docPr descr="Рис. 5: Построение гистограммы распределения заявок в очереди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(рис. fig. 6, fig. 7).</w:t>
      </w:r>
    </w:p>
    <w:p>
      <w:pPr>
        <w:pStyle w:val="CaptionedFigure"/>
      </w:pPr>
      <w:bookmarkStart w:id="47" w:name="fig:006"/>
      <w:r>
        <w:drawing>
          <wp:inline>
            <wp:extent cx="4260850" cy="3937000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bookmarkStart w:id="51" w:name="fig:007"/>
      <w:r>
        <w:drawing>
          <wp:inline>
            <wp:extent cx="4337050" cy="3473450"/>
            <wp:effectExtent b="0" l="0" r="0" t="0"/>
            <wp:docPr descr="Рис. 7: Отчёт по модели оформления заказов в интернет-магазине при построении гистограммы распределения заявок в очереди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И гистограмму(рис. fig. 8):</w:t>
      </w:r>
    </w:p>
    <w:p>
      <w:pPr>
        <w:pStyle w:val="CaptionedFigure"/>
      </w:pPr>
      <w:bookmarkStart w:id="55" w:name="fig:008"/>
      <w:r>
        <w:drawing>
          <wp:inline>
            <wp:extent cx="5334000" cy="2208522"/>
            <wp:effectExtent b="0" l="0" r="0" t="0"/>
            <wp:docPr descr="Рис. 8: Гистограмма распределения заявок в очереди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Гистограмма распределения заявок в очереди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Требуется проанализировать отчёт и гистограмму по результатам моделирования.</w:t>
      </w:r>
    </w:p>
    <w:p>
      <w:pPr>
        <w:pStyle w:val="BodyText"/>
      </w:pPr>
      <w:r>
        <w:t xml:space="preserve">Проанализируем отчёт:</w:t>
      </w:r>
    </w:p>
    <w:p>
      <w:pPr>
        <w:numPr>
          <w:ilvl w:val="0"/>
          <w:numId w:val="100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0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0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,</w:t>
      </w:r>
      <w:r>
        <w:t xml:space="preserve"> </w:t>
      </w:r>
      <w:r>
        <w:rPr>
          <w:rStyle w:val="VerbatimChar"/>
        </w:rPr>
        <w:t xml:space="preserve">fin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AVE.TIME</w:t>
      </w:r>
      <w:r>
        <w:t xml:space="preserve">=10,628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а также в таблице указана частота, количество обрабатываемых заявок.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гистограмму:</w:t>
      </w:r>
    </w:p>
    <w:p>
      <w:pPr>
        <w:pStyle w:val="BodyText"/>
      </w:pPr>
      <w:r>
        <w:t xml:space="preserve">Частотное распределение времени обработки заявок было сформировано на основе 15 равных интервалов шириной 2 минуты, начиная с нуля, в соответствии с заданными параметрами.</w:t>
      </w:r>
    </w:p>
    <w:p>
      <w:pPr>
        <w:numPr>
          <w:ilvl w:val="0"/>
          <w:numId w:val="1012"/>
        </w:numPr>
        <w:pStyle w:val="Compact"/>
      </w:pPr>
      <w:r>
        <w:t xml:space="preserve">Максимальное количество заявок (17) обрабатывалось в интервале 10–12 минут.</w:t>
      </w:r>
    </w:p>
    <w:p>
      <w:pPr>
        <w:numPr>
          <w:ilvl w:val="0"/>
          <w:numId w:val="1012"/>
        </w:numPr>
        <w:pStyle w:val="Compact"/>
      </w:pPr>
      <w:r>
        <w:t xml:space="preserve">Второй по частоте интервал — 12–14 минут, в котором обрабатывалось 14 заявок.</w:t>
      </w:r>
    </w:p>
    <w:p>
      <w:pPr>
        <w:numPr>
          <w:ilvl w:val="0"/>
          <w:numId w:val="1012"/>
        </w:numPr>
        <w:pStyle w:val="Compact"/>
      </w:pPr>
      <w:r>
        <w:t xml:space="preserve">Третий по частоте — 8–10 минут с 12 заявками.</w:t>
      </w:r>
    </w:p>
    <w:p>
      <w:pPr>
        <w:numPr>
          <w:ilvl w:val="0"/>
          <w:numId w:val="1012"/>
        </w:numPr>
        <w:pStyle w:val="Compact"/>
      </w:pPr>
      <w:r>
        <w:t xml:space="preserve">Во всех остальных интервалах количество заявок варьировалось от 0 до 4, что свидетельствует о низкой вероятности соответствующего времени обработки.</w:t>
      </w:r>
    </w:p>
    <w:bookmarkEnd w:id="56"/>
    <w:bookmarkStart w:id="73" w:name="Xab70f7f71dda3505594ba065091fb052a4cefc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fig. 9, fig. 10).</w:t>
      </w:r>
    </w:p>
    <w:p>
      <w:pPr>
        <w:pStyle w:val="CaptionedFigure"/>
      </w:pPr>
      <w:bookmarkStart w:id="60" w:name="fig:009"/>
      <w:r>
        <w:drawing>
          <wp:inline>
            <wp:extent cx="3073400" cy="4692650"/>
            <wp:effectExtent b="0" l="0" r="0" t="0"/>
            <wp:docPr descr="Рис. 9: Модель обслуживания двух типов заказов от клиентов в интернет-магазине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bookmarkStart w:id="64" w:name="fig:010"/>
      <w:r>
        <w:drawing>
          <wp:inline>
            <wp:extent cx="4292600" cy="5054600"/>
            <wp:effectExtent b="0" l="0" r="0" t="0"/>
            <wp:docPr descr="Рис. 10: Отчёт по модели оформления заказов двух типов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Отчёт по модели оформления заказов двух типов</w:t>
      </w:r>
    </w:p>
    <w:p>
      <w:pPr>
        <w:pStyle w:val="BodyText"/>
      </w:pPr>
      <w:r>
        <w:rPr>
          <w:bCs/>
          <w:b/>
        </w:rPr>
        <w:t xml:space="preserve">Задание</w:t>
      </w:r>
      <w:r>
        <w:t xml:space="preserve">: проанализировать отчёт.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3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3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3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3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3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количество транзактов, вошедших в блок:</w:t>
      </w:r>
    </w:p>
    <w:p>
      <w:pPr>
        <w:numPr>
          <w:ilvl w:val="1"/>
          <w:numId w:val="1015"/>
        </w:numPr>
        <w:pStyle w:val="Compact"/>
      </w:pPr>
      <w:r>
        <w:t xml:space="preserve">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32;</w:t>
      </w:r>
    </w:p>
    <w:p>
      <w:pPr>
        <w:numPr>
          <w:ilvl w:val="1"/>
          <w:numId w:val="1015"/>
        </w:numPr>
        <w:pStyle w:val="Compact"/>
      </w:pPr>
      <w:r>
        <w:t xml:space="preserve">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</w:t>
      </w:r>
    </w:p>
    <w:p>
      <w:pPr>
        <w:numPr>
          <w:ilvl w:val="1"/>
          <w:numId w:val="1015"/>
        </w:numPr>
        <w:pStyle w:val="Compact"/>
      </w:pPr>
      <w:r>
        <w:t xml:space="preserve">обработано 39 (потому что 12+27 = 39);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MAX</w:t>
      </w:r>
      <w:r>
        <w:t xml:space="preserve">=8 – в очереди находилось не более восьми ожидающих заявок от клиента;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Нужно было скорректировать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Из теории мы знаем, что:</w:t>
      </w:r>
    </w:p>
    <w:p>
      <w:pPr>
        <w:pStyle w:val="BodyText"/>
      </w:pPr>
      <w:r>
        <w:t xml:space="preserve">Блок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 </w:t>
      </w:r>
      <w:r>
        <w:t xml:space="preserve">изменяет маршрут движения транзактов: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TRANSFER [A],B,[C],[D]</w:t>
      </w:r>
    </w:p>
    <w:p>
      <w:pPr>
        <w:pStyle w:val="FirstParagraph"/>
      </w:pPr>
      <w:r>
        <w:t xml:space="preserve">Здесь A — режим перехода; B — метка первого альтернативного блока; C — метка</w:t>
      </w:r>
      <w:r>
        <w:t xml:space="preserve"> </w:t>
      </w:r>
      <w:r>
        <w:t xml:space="preserve">второго альтернативного блока; D — константа, используемая для относительной</w:t>
      </w:r>
      <w:r>
        <w:t xml:space="preserve"> </w:t>
      </w:r>
      <w:r>
        <w:t xml:space="preserve">переадресации транзактов (рис. fig. 11).</w:t>
      </w:r>
    </w:p>
    <w:p>
      <w:pPr>
        <w:pStyle w:val="CaptionedFigure"/>
      </w:pPr>
      <w:bookmarkStart w:id="68" w:name="fig:011"/>
      <w:r>
        <w:drawing>
          <wp:inline>
            <wp:extent cx="2647950" cy="3505200"/>
            <wp:effectExtent b="0" l="0" r="0" t="0"/>
            <wp:docPr descr="Рис. 11: Модель обслуживания двух типов заказов с условием, что число заказов с дополнительным пакетом услуг составляет 30% от общего числа заказов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fig. 12).</w:t>
      </w:r>
    </w:p>
    <w:p>
      <w:pPr>
        <w:pStyle w:val="CaptionedFigure"/>
      </w:pPr>
      <w:bookmarkStart w:id="72" w:name="fig:012"/>
      <w:r>
        <w:drawing>
          <wp:inline>
            <wp:extent cx="4318000" cy="4572000"/>
            <wp:effectExtent b="0" l="0" r="0" t="0"/>
            <wp:docPr descr="Рис. 12: Отчёт по модели оформления заказов двух типов заказов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8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8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8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8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8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33;</w:t>
      </w:r>
    </w:p>
    <w:p>
      <w:pPr>
        <w:numPr>
          <w:ilvl w:val="0"/>
          <w:numId w:val="1019"/>
        </w:numPr>
        <w:pStyle w:val="Compact"/>
      </w:pPr>
      <w:r>
        <w:t xml:space="preserve">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73"/>
    <w:bookmarkStart w:id="90" w:name="Xa54268e2994a40c2cb4c22f66d9471ebd08a80c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Для задания количества доступных операторов в системе используется команда STORAGE operator 4, где operator — имя ресурса, а число 4 указывает на то, что одновременно могут работать четыре оператора.</w:t>
      </w:r>
    </w:p>
    <w:p>
      <w:pPr>
        <w:pStyle w:val="BodyText"/>
      </w:pPr>
      <w:r>
        <w:t xml:space="preserve">На этапе обработки каждой заявки добавляется команда ENTER operator,1, обозначающая, что для начала обслуживания необходимо зарезервировать одного оператора (рис. fig. 13).</w:t>
      </w:r>
    </w:p>
    <w:p>
      <w:pPr>
        <w:pStyle w:val="CaptionedFigure"/>
      </w:pPr>
      <w:bookmarkStart w:id="77" w:name="fig:013"/>
      <w:r>
        <w:drawing>
          <wp:inline>
            <wp:extent cx="2330450" cy="2635250"/>
            <wp:effectExtent b="0" l="0" r="0" t="0"/>
            <wp:docPr descr="Рис. 13: Модель оформления заказов несколькими операторами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numPr>
          <w:ilvl w:val="0"/>
          <w:numId w:val="1021"/>
        </w:numPr>
        <w:pStyle w:val="Compact"/>
      </w:pPr>
      <w:r>
        <w:t xml:space="preserve">Проанализируем отчет (рис. fig. 14).</w:t>
      </w:r>
    </w:p>
    <w:p>
      <w:pPr>
        <w:pStyle w:val="CaptionedFigure"/>
      </w:pPr>
      <w:bookmarkStart w:id="81" w:name="fig:014"/>
      <w:r>
        <w:drawing>
          <wp:inline>
            <wp:extent cx="4095750" cy="4184650"/>
            <wp:effectExtent b="0" l="0" r="0" t="0"/>
            <wp:docPr descr="Рис. 14: Отчет по модели оформления заказов несколькими операторами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2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2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2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22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=0;</w:t>
      </w:r>
    </w:p>
    <w:p>
      <w:pPr>
        <w:numPr>
          <w:ilvl w:val="0"/>
          <w:numId w:val="1022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=1.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AVE.TIME</w:t>
      </w:r>
      <w:r>
        <w:t xml:space="preserve">=0,000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Далее идет информация про многоканальное устройство STORAGE (представляющее операторов, оформляющих заказы), и мы можем сделать такие выводы:</w:t>
      </w:r>
    </w:p>
    <w:p>
      <w:pPr>
        <w:numPr>
          <w:ilvl w:val="0"/>
          <w:numId w:val="1025"/>
        </w:numPr>
      </w:pPr>
      <w:r>
        <w:t xml:space="preserve">Общее число заявок, направленных к операторам, составило 93.</w:t>
      </w:r>
    </w:p>
    <w:p>
      <w:pPr>
        <w:numPr>
          <w:ilvl w:val="0"/>
          <w:numId w:val="1025"/>
        </w:numPr>
      </w:pPr>
      <w:r>
        <w:t xml:space="preserve">Значение коэффициента полезности (или загрузки) STORAGE составило 0,482.</w:t>
      </w:r>
    </w:p>
    <w:p>
      <w:pPr>
        <w:numPr>
          <w:ilvl w:val="0"/>
          <w:numId w:val="1025"/>
        </w:numPr>
      </w:pPr>
      <w:r>
        <w:t xml:space="preserve">Среднее время, в течение которого один оператор был занят одной заявкой, составило 1,926 минуты.</w:t>
      </w:r>
    </w:p>
    <w:p>
      <w:pPr>
        <w:numPr>
          <w:ilvl w:val="0"/>
          <w:numId w:val="1025"/>
        </w:numPr>
      </w:pPr>
      <w:r>
        <w:rPr>
          <w:rStyle w:val="VerbatimChar"/>
        </w:rPr>
        <w:t xml:space="preserve">CAP.</w:t>
      </w:r>
      <w:r>
        <w:t xml:space="preserve"> </w:t>
      </w:r>
      <w:r>
        <w:t xml:space="preserve">= 4, что означает возможность одновременной работы до четырёх операторов.</w:t>
      </w:r>
    </w:p>
    <w:p>
      <w:pPr>
        <w:numPr>
          <w:ilvl w:val="0"/>
          <w:numId w:val="1025"/>
        </w:numPr>
      </w:pPr>
      <w:r>
        <w:t xml:space="preserve">Максимальное число одновременно задействованных операторов: 4 — то есть в некоторые моменты все операторы находились в работе.</w:t>
      </w:r>
    </w:p>
    <w:p>
      <w:pPr>
        <w:numPr>
          <w:ilvl w:val="0"/>
          <w:numId w:val="1025"/>
        </w:numPr>
      </w:pPr>
      <w:r>
        <w:t xml:space="preserve">Минимальное число задействованных операторов: 0 — были периоды, когда ни один оператор не был занят.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numPr>
          <w:ilvl w:val="0"/>
          <w:numId w:val="1026"/>
        </w:numPr>
        <w:pStyle w:val="Compac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FirstParagraph"/>
      </w:pPr>
      <w:r>
        <w:t xml:space="preserve">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определяет направление движения транзакта в зависимости от выполнения условия, заданного алгебраическим соотношением:</w:t>
      </w:r>
    </w:p>
    <w:p>
      <w:pPr>
        <w:pStyle w:val="BodyText"/>
      </w:pPr>
      <w:r>
        <w:rPr>
          <w:rStyle w:val="VerbatimChar"/>
        </w:rPr>
        <w:t xml:space="preserve">TEST XX A,B,[C]</w:t>
      </w:r>
    </w:p>
    <w:p>
      <w:pPr>
        <w:pStyle w:val="BodyText"/>
      </w:pPr>
      <w:r>
        <w:t xml:space="preserve">Здесь XX — знак логической операции: L — меньше, G — больше, E — равно, LE —</w:t>
      </w:r>
      <w:r>
        <w:t xml:space="preserve"> </w:t>
      </w:r>
      <w:r>
        <w:t xml:space="preserve">меньше или равно, GE — больше или равно, NE — не равно; A, B — сравниваемые</w:t>
      </w:r>
      <w:r>
        <w:t xml:space="preserve"> </w:t>
      </w:r>
      <w:r>
        <w:t xml:space="preserve">значения; C — метка блока, куда перемещается транзакт в случае невыполнения</w:t>
      </w:r>
      <w:r>
        <w:t xml:space="preserve"> </w:t>
      </w:r>
      <w:r>
        <w:t xml:space="preserve">заданного условия.</w:t>
      </w:r>
    </w:p>
    <w:p>
      <w:pPr>
        <w:pStyle w:val="BodyText"/>
      </w:pPr>
      <w:r>
        <w:t xml:space="preserve">Добавми</w:t>
      </w:r>
      <w:r>
        <w:t xml:space="preserve"> </w:t>
      </w:r>
      <w:r>
        <w:rPr>
          <w:rStyle w:val="VerbatimChar"/>
        </w:rPr>
        <w:t xml:space="preserve">TEST LE Q$operator_q,2,Fin</w:t>
      </w:r>
      <w:r>
        <w:t xml:space="preserve"> </w:t>
      </w:r>
      <w:r>
        <w:t xml:space="preserve">для проверки того, сколько заявоку в очереди. Если больше 2 - завершаем заявку, рна не попадает в очередь.</w:t>
      </w:r>
    </w:p>
    <w:p>
      <w:pPr>
        <w:pStyle w:val="BodyText"/>
      </w:pPr>
      <w:r>
        <w:t xml:space="preserve">Ранее в отчёте было видно, что длина очереди ни разу не превышала двух человек. Это связано с тем, что заявки поступали довольно редко, и операторы успевали справляться с потоком. Чтобы проверить, как система поведёт себя при большей нагрузке, я изменила параметры модели:</w:t>
      </w:r>
    </w:p>
    <w:p>
      <w:pPr>
        <w:numPr>
          <w:ilvl w:val="0"/>
          <w:numId w:val="1027"/>
        </w:numPr>
      </w:pPr>
      <w:r>
        <w:t xml:space="preserve">Вместо</w:t>
      </w:r>
      <w:r>
        <w:t xml:space="preserve"> </w:t>
      </w:r>
      <w:r>
        <w:rPr>
          <w:rStyle w:val="VerbatimChar"/>
        </w:rPr>
        <w:t xml:space="preserve">GENERATE 5,2</w:t>
      </w:r>
      <w:r>
        <w:t xml:space="preserve"> </w:t>
      </w:r>
      <w:r>
        <w:t xml:space="preserve">теперь используется</w:t>
      </w:r>
      <w:r>
        <w:t xml:space="preserve"> </w:t>
      </w:r>
      <w:r>
        <w:rPr>
          <w:rStyle w:val="VerbatimChar"/>
        </w:rPr>
        <w:t xml:space="preserve">GENERATE 3,1</w:t>
      </w:r>
      <w:r>
        <w:t xml:space="preserve">, то есть заявки приходят чаще — в интервале от 2 до 4 минут.</w:t>
      </w:r>
    </w:p>
    <w:p>
      <w:pPr>
        <w:numPr>
          <w:ilvl w:val="0"/>
          <w:numId w:val="1027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ADVANCE 10,2</w:t>
      </w:r>
      <w:r>
        <w:t xml:space="preserve"> </w:t>
      </w:r>
      <w:r>
        <w:t xml:space="preserve">заменена на</w:t>
      </w:r>
      <w:r>
        <w:t xml:space="preserve"> </w:t>
      </w:r>
      <w:r>
        <w:rPr>
          <w:rStyle w:val="VerbatimChar"/>
        </w:rPr>
        <w:t xml:space="preserve">ADVANCE 15,5</w:t>
      </w:r>
      <w:r>
        <w:t xml:space="preserve">, чтобы одна заявка обрабатывалась дольше — в среднем 15 минут.</w:t>
      </w:r>
    </w:p>
    <w:p>
      <w:pPr>
        <w:pStyle w:val="FirstParagraph"/>
      </w:pPr>
      <w:r>
        <w:t xml:space="preserve">Таким образом, модель теперь работает в условиях, когда операторов может не хватать, и появляется шанс, что очередь превысит допустимый предел в две заявки. Это позволяет проверить, как сработает фильтрация через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и насколько сильно это повлияет на общий поток заявок (рис. fig:015).</w:t>
      </w:r>
    </w:p>
    <w:p>
      <w:pPr>
        <w:pStyle w:val="CaptionedFigure"/>
      </w:pPr>
      <w:bookmarkStart w:id="85" w:name="fig:015"/>
      <w:r>
        <w:drawing>
          <wp:inline>
            <wp:extent cx="3086100" cy="2952750"/>
            <wp:effectExtent b="0" l="0" r="0" t="0"/>
            <wp:docPr descr="Рис. 15: Модель оформления заказов несколькими операторами с учетом отказов клиентов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p>
      <w:pPr>
        <w:numPr>
          <w:ilvl w:val="0"/>
          <w:numId w:val="1028"/>
        </w:numPr>
        <w:pStyle w:val="Compact"/>
      </w:pPr>
      <w:r>
        <w:t xml:space="preserve">Проанализируем полученный отчет (рис. fig. 16).</w:t>
      </w:r>
    </w:p>
    <w:p>
      <w:pPr>
        <w:pStyle w:val="CaptionedFigure"/>
      </w:pPr>
      <w:bookmarkStart w:id="89" w:name="fig:016"/>
      <w:r>
        <w:drawing>
          <wp:inline>
            <wp:extent cx="4298950" cy="4610100"/>
            <wp:effectExtent b="0" l="0" r="0" t="0"/>
            <wp:docPr descr="Рис. 16: Отчет по модели оформления заказов несколькими операторами с учетом отказов клиентов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2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=0;</w:t>
      </w:r>
    </w:p>
    <w:p>
      <w:pPr>
        <w:numPr>
          <w:ilvl w:val="0"/>
          <w:numId w:val="102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=1.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158;</w:t>
      </w:r>
    </w:p>
    <w:p>
      <w:pPr>
        <w:numPr>
          <w:ilvl w:val="0"/>
          <w:numId w:val="1030"/>
        </w:numPr>
        <w:pStyle w:val="Compact"/>
      </w:pPr>
      <w:r>
        <w:t xml:space="preserve">обработано 94 заказа;</w:t>
      </w:r>
    </w:p>
    <w:p>
      <w:pPr>
        <w:numPr>
          <w:ilvl w:val="0"/>
          <w:numId w:val="1030"/>
        </w:numPr>
        <w:pStyle w:val="Compact"/>
      </w:pPr>
      <w:r>
        <w:t xml:space="preserve">27 человек отказались оставлять заявки, поскольку очередь была более двух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MAX</w:t>
      </w:r>
      <w:r>
        <w:t xml:space="preserve"> </w:t>
      </w:r>
      <w:r>
        <w:t xml:space="preserve">= 3 – в очереди находилось не более трех ожидающих заявок от клиента(как и было указано);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CONT</w:t>
      </w:r>
      <w:r>
        <w:t xml:space="preserve"> </w:t>
      </w:r>
      <w:r>
        <w:t xml:space="preserve">= 2 – на момент завершения моделирования в очереди было 2 клиента;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ENTRIES</w:t>
      </w:r>
      <w:r>
        <w:t xml:space="preserve">=131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ENTRIES(O)</w:t>
      </w:r>
      <w:r>
        <w:t xml:space="preserve">=6 – число заявок от клиентов, попавших к оператору без ожидания в очереди;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AVE.CONT</w:t>
      </w:r>
      <w:r>
        <w:t xml:space="preserve">=1,976 – заявок от клиентов в среднем были в очереди;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AVE.TIME</w:t>
      </w:r>
      <w:r>
        <w:t xml:space="preserve">=7,242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AVE.(-0)</w:t>
      </w:r>
      <w:r>
        <w:t xml:space="preserve">=7,589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Далее в отчёте представлена статистика по многоканальному устройству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, которое моделирует операторов, занимающихся оформлением заказов. Из данных видно следующее:</w:t>
      </w:r>
    </w:p>
    <w:p>
      <w:pPr>
        <w:numPr>
          <w:ilvl w:val="0"/>
          <w:numId w:val="1032"/>
        </w:numPr>
      </w:pPr>
      <w:r>
        <w:t xml:space="preserve">К операторам было направлено 129 заявок от клиентов.</w:t>
      </w:r>
    </w:p>
    <w:p>
      <w:pPr>
        <w:numPr>
          <w:ilvl w:val="0"/>
          <w:numId w:val="1032"/>
        </w:numPr>
      </w:pPr>
      <w:r>
        <w:t xml:space="preserve">Полезность работы (utilization) составила 0,982, то есть операторы были заняты почти всё время моделирования — 98,2 % времени.</w:t>
      </w:r>
    </w:p>
    <w:p>
      <w:pPr>
        <w:numPr>
          <w:ilvl w:val="0"/>
          <w:numId w:val="1032"/>
        </w:numPr>
      </w:pPr>
      <w:r>
        <w:t xml:space="preserve">В среднем один оператор тратил 3,929 минуты на обработку одной заявки.</w:t>
      </w:r>
    </w:p>
    <w:p>
      <w:pPr>
        <w:numPr>
          <w:ilvl w:val="0"/>
          <w:numId w:val="1032"/>
        </w:numPr>
      </w:pPr>
      <w:r>
        <w:rPr>
          <w:rStyle w:val="VerbatimChar"/>
        </w:rPr>
        <w:t xml:space="preserve">CAP.</w:t>
      </w:r>
      <w:r>
        <w:t xml:space="preserve"> </w:t>
      </w:r>
      <w:r>
        <w:t xml:space="preserve">= 4, что означает возможность одновременной работы до четырёх операторов.</w:t>
      </w:r>
    </w:p>
    <w:p>
      <w:pPr>
        <w:numPr>
          <w:ilvl w:val="0"/>
          <w:numId w:val="1032"/>
        </w:numPr>
      </w:pPr>
      <w:r>
        <w:t xml:space="preserve">Максимальное число одновременно занятых операторов: 4.</w:t>
      </w:r>
    </w:p>
    <w:p>
      <w:pPr>
        <w:numPr>
          <w:ilvl w:val="0"/>
          <w:numId w:val="1032"/>
        </w:numPr>
      </w:pPr>
      <w:r>
        <w:t xml:space="preserve">Минимальное число занятых операторов: 0 (были периоды простоя, хотя и редкие).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реализовала следующее:</w:t>
      </w:r>
    </w:p>
    <w:p>
      <w:pPr>
        <w:numPr>
          <w:ilvl w:val="0"/>
          <w:numId w:val="1033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33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33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33"/>
        </w:numPr>
        <w:pStyle w:val="Compact"/>
      </w:pPr>
      <w:r>
        <w:t xml:space="preserve">модель оформления заказов несколькими операторами.</w:t>
      </w:r>
    </w:p>
    <w:bookmarkEnd w:id="92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Start w:id="93" w:name="ref-Korolkova202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В. К.А., С. К.Д. Руководство к лабораторной работе №14. Моделирование информационных процессов. Модели обработки заказов. 2025. С. 7.</w:t>
      </w:r>
    </w:p>
    <w:bookmarkEnd w:id="93"/>
    <w:bookmarkStart w:id="94" w:name="ref-sosnovikov202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Сосновиков Г.К., Воробейчиков Л.А. Компьютерное моделирование. Практикум по имитационному моделированию в среде GPSS World. Издательство не указано, 2023. С. 112.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1"/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Астраханцева А. А.</dc:creator>
  <dc:language>ru-RU</dc:language>
  <cp:keywords/>
  <dcterms:created xsi:type="dcterms:W3CDTF">2025-05-09T15:57:13Z</dcterms:created>
  <dcterms:modified xsi:type="dcterms:W3CDTF">2025-05-09T15:57:13Z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Имитационное моделирование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