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2.jpg" ContentType="image/jpeg"/>
  <Override PartName="/word/media/rId36.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Pr>
      <w:r>
        <w:t xml:space="preserve">Модель обслуживания механиков на складе;</w:t>
      </w:r>
    </w:p>
    <w:p>
      <w:pPr>
        <w:numPr>
          <w:ilvl w:val="0"/>
          <w:numId w:val="1001"/>
        </w:numPr>
      </w:pPr>
      <w:r>
        <w:t xml:space="preserve">Модель обслуживания в порту судов двух типов;</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GPSS (General Purpose Simulation System) — это один из первых специализированных языков программирования для имитационного моделирования, созданный в 1961 году американским инженером Джеффри Гордоном в корпорации IBM. Первоначально язык разрабатывался для нужд моделирования сложных логистических и производственных процессов в промышленных и военных системах, где требовался учёт случайных событий и взаимодействия большого количества объектов во времени.</w:t>
      </w:r>
    </w:p>
    <w:p>
      <w:pPr>
        <w:pStyle w:val="BodyText"/>
      </w:pPr>
      <w:r>
        <w:t xml:space="preserve">GPSS стал знаковым инструментом в истории моделирования: он заложил основы событийного подхода и ввёл понятие транзакта как активного объекта, перемещающегося по блокам логики системы. Эти концепции впоследствии легли в основу многих других языков и программных сред моделирования. Благодаря модульной структуре и простой записи моделей, GPSS получил широкое распространение в университетах и научных учреждениях как средство обучения и анализа дискретных систем.</w:t>
      </w:r>
    </w:p>
    <w:p>
      <w:pPr>
        <w:pStyle w:val="BodyText"/>
      </w:pPr>
      <w:r>
        <w:t xml:space="preserve">Практическое применение GPSS охватывает широкий спектр задач:</w:t>
      </w:r>
    </w:p>
    <w:p>
      <w:pPr>
        <w:numPr>
          <w:ilvl w:val="0"/>
          <w:numId w:val="1002"/>
        </w:numPr>
      </w:pPr>
      <w:r>
        <w:t xml:space="preserve">Организация работы производственных цехов: моделирование потока деталей между станками, учёт времени обработки, простоев и загрузки оборудования;</w:t>
      </w:r>
    </w:p>
    <w:p>
      <w:pPr>
        <w:numPr>
          <w:ilvl w:val="0"/>
          <w:numId w:val="1002"/>
        </w:numPr>
      </w:pPr>
      <w:r>
        <w:t xml:space="preserve">Системы массового обслуживания: моделирование очередей в банках, поликлиниках, аэропортах с целью оценки времени ожидания и необходимости в дополнительном персонале;</w:t>
      </w:r>
    </w:p>
    <w:p>
      <w:pPr>
        <w:numPr>
          <w:ilvl w:val="0"/>
          <w:numId w:val="1002"/>
        </w:numPr>
      </w:pPr>
      <w:r>
        <w:t xml:space="preserve">Логистика и склады: моделирование перемещения товаров между зонами хранения, погрузки и разгрузки, анализ загрузки транспортных средств;</w:t>
      </w:r>
    </w:p>
    <w:p>
      <w:pPr>
        <w:numPr>
          <w:ilvl w:val="0"/>
          <w:numId w:val="1002"/>
        </w:numPr>
      </w:pPr>
      <w:r>
        <w:t xml:space="preserve">Транспорт: моделирование движения автобусов, поездов, планирование расписаний с учётом времени на посадку и высадку пассажиров;</w:t>
      </w:r>
    </w:p>
    <w:p>
      <w:pPr>
        <w:numPr>
          <w:ilvl w:val="0"/>
          <w:numId w:val="1002"/>
        </w:numPr>
      </w:pPr>
      <w:r>
        <w:t xml:space="preserve">Военные приложения: планирование операций снабжения, имитация действий в сложных логистических цепочках.</w:t>
      </w:r>
    </w:p>
    <w:p>
      <w:pPr>
        <w:pStyle w:val="FirstParagraph"/>
      </w:pPr>
      <w:r>
        <w:t xml:space="preserve">Одним из достоинств GPSS является то, что язык допускает использование случайных величин (например, времени обслуживания или интервалов между заявками), что позволяет создавать реалистичные модели, приближенные к поведению реальных систем. Также GPSS даёт возможность легко собирать статистику по ключевым метрикам: времени пребывания объектов в системе, загрузке ресурсов, количеству отказов и пр.</w:t>
      </w:r>
    </w:p>
    <w:p>
      <w:pPr>
        <w:pStyle w:val="BodyText"/>
      </w:pPr>
      <w:r>
        <w:t xml:space="preserve">Несмотря на то, что с момента своего создания прошло более шестидесяти лет, GPSS продолжает использоваться как в учебных целях, так и в инженерной практике благодаря своей простоте, наглядности и эффективности в решении прикладных задач, связанных с анализом и оптимизацией дискретных процессов.</w:t>
      </w:r>
    </w:p>
    <w:p>
      <w:pPr>
        <w:pStyle w:val="BodyText"/>
      </w:pPr>
      <w:r>
        <w:t xml:space="preserve">[1,2]</w:t>
      </w:r>
      <w:r>
        <w:t xml:space="preserve">.</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модель-обслуживания-механиков-на-складе"/>
    <w:p>
      <w:pPr>
        <w:pStyle w:val="Heading2"/>
      </w:pPr>
      <w:r>
        <w:rPr>
          <w:rStyle w:val="SectionNumber"/>
        </w:rPr>
        <w:t xml:space="preserve">4.1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w:t>
      </w:r>
      <w:r>
        <w:t xml:space="preserve"> </w:t>
      </w:r>
      <w:r>
        <w:t xml:space="preserve">360 ± 240 сек., время обслуживания — 100 ± 30 сек.</w:t>
      </w:r>
    </w:p>
    <w:p>
      <w:pPr>
        <w:pStyle w:val="BodyText"/>
      </w:pP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 запросов первой категории.</w:t>
      </w:r>
    </w:p>
    <w:p>
      <w:pPr>
        <w:pStyle w:val="BodyText"/>
      </w:pPr>
      <w:r>
        <w:t xml:space="preserve">Таким образом, имеем (рис. fig. 1).</w:t>
      </w:r>
    </w:p>
    <w:p>
      <w:pPr>
        <w:pStyle w:val="CaptionedFigure"/>
      </w:pPr>
      <w:bookmarkStart w:id="26" w:name="fig:001"/>
      <w:r>
        <w:drawing>
          <wp:inline>
            <wp:extent cx="2616200" cy="4514850"/>
            <wp:effectExtent b="0" l="0" r="0" t="0"/>
            <wp:docPr descr="Рис. 1: Модель обслуживания механиков на складе"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2616200" cy="4514850"/>
                    </a:xfrm>
                    <a:prstGeom prst="rect">
                      <a:avLst/>
                    </a:prstGeom>
                    <a:noFill/>
                    <a:ln w="9525">
                      <a:noFill/>
                      <a:headEnd/>
                      <a:tailEnd/>
                    </a:ln>
                  </pic:spPr>
                </pic:pic>
              </a:graphicData>
            </a:graphic>
          </wp:inline>
        </w:drawing>
      </w:r>
      <w:bookmarkEnd w:id="26"/>
    </w:p>
    <w:p>
      <w:pPr>
        <w:pStyle w:val="ImageCaption"/>
      </w:pPr>
      <w:r>
        <w:t xml:space="preserve">Рис. 1: Модель обслуживания механиков на складе</w:t>
      </w:r>
    </w:p>
    <w:p>
      <w:pPr>
        <w:pStyle w:val="BodyText"/>
      </w:pPr>
      <w:r>
        <w:t xml:space="preserve">После запуска симуляции получаем отчёт (рис. fig. 2).</w:t>
      </w:r>
    </w:p>
    <w:p>
      <w:pPr>
        <w:pStyle w:val="CaptionedFigure"/>
      </w:pPr>
      <w:bookmarkStart w:id="30" w:name="fig:002"/>
      <w:r>
        <w:drawing>
          <wp:inline>
            <wp:extent cx="4311650" cy="4838700"/>
            <wp:effectExtent b="0" l="0" r="0" t="0"/>
            <wp:docPr descr="Рис. 2: Отчёт по модели обслуживания механиков на складе"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4311650" cy="4838700"/>
                    </a:xfrm>
                    <a:prstGeom prst="rect">
                      <a:avLst/>
                    </a:prstGeom>
                    <a:noFill/>
                    <a:ln w="9525">
                      <a:noFill/>
                      <a:headEnd/>
                      <a:tailEnd/>
                    </a:ln>
                  </pic:spPr>
                </pic:pic>
              </a:graphicData>
            </a:graphic>
          </wp:inline>
        </w:drawing>
      </w:r>
      <w:bookmarkEnd w:id="30"/>
    </w:p>
    <w:p>
      <w:pPr>
        <w:pStyle w:val="ImageCaption"/>
      </w:pPr>
      <w:r>
        <w:t xml:space="preserve">Рис. 2: Отчёт по модели обслуживания механиков на складе</w:t>
      </w:r>
    </w:p>
    <w:p>
      <w:pPr>
        <w:pStyle w:val="BodyText"/>
      </w:pPr>
      <w:r>
        <w:t xml:space="preserve">Результаты работы модели:</w:t>
      </w:r>
    </w:p>
    <w:p>
      <w:pPr>
        <w:numPr>
          <w:ilvl w:val="0"/>
          <w:numId w:val="1003"/>
        </w:numPr>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3"/>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3"/>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3"/>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3"/>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w:t>
      </w:r>
      <w:r>
        <w:t xml:space="preserve"> </w:t>
      </w:r>
      <w:r>
        <w:rPr>
          <w:rStyle w:val="VerbatimChar"/>
        </w:rPr>
        <w:t xml:space="preserve">QS2</w:t>
      </w:r>
      <w:r>
        <w:t xml:space="preserve">,</w:t>
      </w:r>
      <w:r>
        <w:t xml:space="preserve"> </w:t>
      </w:r>
      <w:r>
        <w:rPr>
          <w:rStyle w:val="VerbatimChar"/>
        </w:rPr>
        <w:t xml:space="preserve">STOCKMAN</w:t>
      </w:r>
      <w:r>
        <w:t xml:space="preserve">.</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(кладовщик, который выдает запасные части механикам), откуда видим, что кладовщику попало 141 обращение от механиков (значение поля</w:t>
      </w:r>
      <w:r>
        <w:t xml:space="preserve"> </w:t>
      </w:r>
      <w:r>
        <w:rPr>
          <w:rStyle w:val="VerbatimChar"/>
        </w:rPr>
        <w:t xml:space="preserve">ENTRIES</w:t>
      </w:r>
      <w:r>
        <w:t xml:space="preserve">=146), последнее обращение, которое клавовщик принял в работу - 141 до окончания рабочего времени (значение поля</w:t>
      </w:r>
      <w:r>
        <w:t xml:space="preserve"> </w:t>
      </w:r>
      <w:r>
        <w:rPr>
          <w:rStyle w:val="VerbatimChar"/>
        </w:rPr>
        <w:t xml:space="preserve">OWNER</w:t>
      </w:r>
      <w:r>
        <w:t xml:space="preserve">=141). Полезность работы оператора составила 0, 967. При этом среднее время занятости оператора составило 190, 733 мин.</w:t>
      </w:r>
    </w:p>
    <w:p>
      <w:pPr>
        <w:pStyle w:val="BodyText"/>
      </w:pPr>
      <w:r>
        <w:t xml:space="preserve">Далее информация об очереди:</w:t>
      </w:r>
    </w:p>
    <w:p>
      <w:pPr>
        <w:numPr>
          <w:ilvl w:val="0"/>
          <w:numId w:val="1004"/>
        </w:numPr>
      </w:pPr>
      <w:r>
        <w:rPr>
          <w:rStyle w:val="VerbatimChar"/>
        </w:rPr>
        <w:t xml:space="preserve">QUEUE</w:t>
      </w:r>
      <w:r>
        <w:t xml:space="preserve"> </w:t>
      </w:r>
      <w:r>
        <w:t xml:space="preserve">=</w:t>
      </w:r>
      <w:r>
        <w:t xml:space="preserve"> </w:t>
      </w:r>
      <w:r>
        <w:rPr>
          <w:rStyle w:val="VerbatimChar"/>
        </w:rPr>
        <w:t xml:space="preserve">QS1</w:t>
      </w:r>
      <w:r>
        <w:t xml:space="preserve"> </w:t>
      </w:r>
      <w:r>
        <w:t xml:space="preserve">– имя объекта типа «очередь»;</w:t>
      </w:r>
    </w:p>
    <w:p>
      <w:pPr>
        <w:numPr>
          <w:ilvl w:val="0"/>
          <w:numId w:val="1004"/>
        </w:numPr>
      </w:pPr>
      <w:r>
        <w:rPr>
          <w:rStyle w:val="VerbatimChar"/>
        </w:rPr>
        <w:t xml:space="preserve">MAX</w:t>
      </w:r>
      <w:r>
        <w:t xml:space="preserve"> </w:t>
      </w:r>
      <w:r>
        <w:t xml:space="preserve">= 3 – в очереди находилось не более одной ожидающей заявки от клиента;</w:t>
      </w:r>
    </w:p>
    <w:p>
      <w:pPr>
        <w:numPr>
          <w:ilvl w:val="0"/>
          <w:numId w:val="1004"/>
        </w:numPr>
      </w:pPr>
      <w:r>
        <w:rPr>
          <w:rStyle w:val="VerbatimChar"/>
        </w:rPr>
        <w:t xml:space="preserve">CONT</w:t>
      </w:r>
      <w:r>
        <w:t xml:space="preserve"> </w:t>
      </w:r>
      <w:r>
        <w:t xml:space="preserve">= 2 – на момент завершения моделирования в очереди было 2 обращения;</w:t>
      </w:r>
    </w:p>
    <w:p>
      <w:pPr>
        <w:numPr>
          <w:ilvl w:val="0"/>
          <w:numId w:val="1004"/>
        </w:numPr>
      </w:pPr>
      <w:r>
        <w:rPr>
          <w:rStyle w:val="VerbatimChar"/>
        </w:rPr>
        <w:t xml:space="preserve">ENTRIES</w:t>
      </w:r>
      <w:r>
        <w:t xml:space="preserve"> </w:t>
      </w:r>
      <w:r>
        <w:t xml:space="preserve">= 83 – общее число обращений, прошедших через очередь в течение периода моделирования;</w:t>
      </w:r>
    </w:p>
    <w:p>
      <w:pPr>
        <w:numPr>
          <w:ilvl w:val="0"/>
          <w:numId w:val="1004"/>
        </w:numPr>
      </w:pPr>
      <w:r>
        <w:rPr>
          <w:rStyle w:val="VerbatimChar"/>
        </w:rPr>
        <w:t xml:space="preserve">ENTRIES(O)</w:t>
      </w:r>
      <w:r>
        <w:t xml:space="preserve"> </w:t>
      </w:r>
      <w:r>
        <w:t xml:space="preserve">= 2 – число обащений, попавших к кладовщику без ожидания в очереди;</w:t>
      </w:r>
    </w:p>
    <w:p>
      <w:pPr>
        <w:numPr>
          <w:ilvl w:val="0"/>
          <w:numId w:val="1004"/>
        </w:numPr>
      </w:pPr>
      <w:r>
        <w:rPr>
          <w:rStyle w:val="VerbatimChar"/>
        </w:rPr>
        <w:t xml:space="preserve">AVE.CONT</w:t>
      </w:r>
      <w:r>
        <w:t xml:space="preserve"> </w:t>
      </w:r>
      <w:r>
        <w:t xml:space="preserve">= 0, 439 обращений в среднем были в очереди;</w:t>
      </w:r>
    </w:p>
    <w:p>
      <w:pPr>
        <w:numPr>
          <w:ilvl w:val="0"/>
          <w:numId w:val="1004"/>
        </w:numPr>
      </w:pPr>
      <w:r>
        <w:rPr>
          <w:rStyle w:val="VerbatimChar"/>
        </w:rPr>
        <w:t xml:space="preserve">AVE.TIME</w:t>
      </w:r>
      <w:r>
        <w:t xml:space="preserve"> </w:t>
      </w:r>
      <w:r>
        <w:t xml:space="preserve">= 152.399 минут в среднем обращения провели в очереди (с учётом всех входов в очередь);</w:t>
      </w:r>
    </w:p>
    <w:p>
      <w:pPr>
        <w:numPr>
          <w:ilvl w:val="0"/>
          <w:numId w:val="1004"/>
        </w:numPr>
      </w:pPr>
      <w:r>
        <w:rPr>
          <w:rStyle w:val="VerbatimChar"/>
        </w:rPr>
        <w:t xml:space="preserve">AVE.(–0)</w:t>
      </w:r>
      <w:r>
        <w:t xml:space="preserve"> </w:t>
      </w:r>
      <w:r>
        <w:t xml:space="preserve">= 156.162 минут в среднем обращения провели в очереди (без учета «нулевых» входов в очередь).</w:t>
      </w:r>
    </w:p>
    <w:p>
      <w:pPr>
        <w:numPr>
          <w:ilvl w:val="0"/>
          <w:numId w:val="1004"/>
        </w:numPr>
      </w:pPr>
      <w:r>
        <w:rPr>
          <w:rStyle w:val="VerbatimChar"/>
        </w:rPr>
        <w:t xml:space="preserve">QUEUE</w:t>
      </w:r>
      <w:r>
        <w:t xml:space="preserve"> </w:t>
      </w:r>
      <w:r>
        <w:t xml:space="preserve">=</w:t>
      </w:r>
      <w:r>
        <w:t xml:space="preserve"> </w:t>
      </w:r>
      <w:r>
        <w:rPr>
          <w:rStyle w:val="VerbatimChar"/>
        </w:rPr>
        <w:t xml:space="preserve">QS2</w:t>
      </w:r>
      <w:r>
        <w:t xml:space="preserve"> </w:t>
      </w:r>
      <w:r>
        <w:t xml:space="preserve">– имя объекта типа «очередь»;</w:t>
      </w:r>
    </w:p>
    <w:p>
      <w:pPr>
        <w:numPr>
          <w:ilvl w:val="0"/>
          <w:numId w:val="1004"/>
        </w:numPr>
      </w:pPr>
      <w:r>
        <w:rPr>
          <w:rStyle w:val="VerbatimChar"/>
        </w:rPr>
        <w:t xml:space="preserve">MAX</w:t>
      </w:r>
      <w:r>
        <w:t xml:space="preserve"> </w:t>
      </w:r>
      <w:r>
        <w:t xml:space="preserve">= 8 – в очереди находилось не более одной ожидающей заявки от клиента;</w:t>
      </w:r>
    </w:p>
    <w:p>
      <w:pPr>
        <w:numPr>
          <w:ilvl w:val="0"/>
          <w:numId w:val="1004"/>
        </w:numPr>
      </w:pPr>
      <w:r>
        <w:rPr>
          <w:rStyle w:val="VerbatimChar"/>
        </w:rPr>
        <w:t xml:space="preserve">CONT</w:t>
      </w:r>
      <w:r>
        <w:t xml:space="preserve"> </w:t>
      </w:r>
      <w:r>
        <w:t xml:space="preserve">= 6 – на момент завершения моделирования в очереди было 2 обращения;</w:t>
      </w:r>
    </w:p>
    <w:p>
      <w:pPr>
        <w:numPr>
          <w:ilvl w:val="0"/>
          <w:numId w:val="1004"/>
        </w:numPr>
      </w:pPr>
      <w:r>
        <w:rPr>
          <w:rStyle w:val="VerbatimChar"/>
        </w:rPr>
        <w:t xml:space="preserve">ENTRIES</w:t>
      </w:r>
      <w:r>
        <w:t xml:space="preserve"> </w:t>
      </w:r>
      <w:r>
        <w:t xml:space="preserve">= 71 – общее число обращений, прошедших через очередь в течение периода моделирования;</w:t>
      </w:r>
    </w:p>
    <w:p>
      <w:pPr>
        <w:numPr>
          <w:ilvl w:val="0"/>
          <w:numId w:val="1004"/>
        </w:numPr>
      </w:pPr>
      <w:r>
        <w:rPr>
          <w:rStyle w:val="VerbatimChar"/>
        </w:rPr>
        <w:t xml:space="preserve">ENTRIES(O)</w:t>
      </w:r>
      <w:r>
        <w:t xml:space="preserve"> </w:t>
      </w:r>
      <w:r>
        <w:t xml:space="preserve">= 4 – число обащений, попавших к кладовщику без ожидания в очереди;</w:t>
      </w:r>
    </w:p>
    <w:p>
      <w:pPr>
        <w:numPr>
          <w:ilvl w:val="0"/>
          <w:numId w:val="1004"/>
        </w:numPr>
      </w:pPr>
      <w:r>
        <w:rPr>
          <w:rStyle w:val="VerbatimChar"/>
        </w:rPr>
        <w:t xml:space="preserve">AVE.CONT</w:t>
      </w:r>
      <w:r>
        <w:t xml:space="preserve"> </w:t>
      </w:r>
      <w:r>
        <w:t xml:space="preserve">= 2, 177 обращений в среднем были в очереди;</w:t>
      </w:r>
    </w:p>
    <w:p>
      <w:pPr>
        <w:numPr>
          <w:ilvl w:val="0"/>
          <w:numId w:val="1004"/>
        </w:numPr>
      </w:pPr>
      <w:r>
        <w:rPr>
          <w:rStyle w:val="VerbatimChar"/>
        </w:rPr>
        <w:t xml:space="preserve">AVE.TIME</w:t>
      </w:r>
      <w:r>
        <w:t xml:space="preserve"> </w:t>
      </w:r>
      <w:r>
        <w:t xml:space="preserve">= 883, 029 минут в среднем обращения провели в очереди (с учётом всех входов в очередь);</w:t>
      </w:r>
    </w:p>
    <w:p>
      <w:pPr>
        <w:numPr>
          <w:ilvl w:val="0"/>
          <w:numId w:val="1004"/>
        </w:numPr>
      </w:pPr>
      <w:r>
        <w:rPr>
          <w:rStyle w:val="VerbatimChar"/>
        </w:rPr>
        <w:t xml:space="preserve">AVE.(–0)</w:t>
      </w:r>
      <w:r>
        <w:t xml:space="preserve"> </w:t>
      </w:r>
      <w:r>
        <w:t xml:space="preserve">= 935, 747 минут в среднем обращения провели в очереди (без учета «нулевых» входов в очередь).</w:t>
      </w:r>
    </w:p>
    <w:p>
      <w:pPr>
        <w:pStyle w:val="FirstParagraph"/>
      </w:pPr>
      <w:r>
        <w:t xml:space="preserve">В конце отчёта идёт информация о будущих событиях.</w:t>
      </w:r>
    </w:p>
    <w:bookmarkEnd w:id="31"/>
    <w:bookmarkStart w:id="44" w:name="Xf2c53700e2ed52c994f143e6374ea902f84194b"/>
    <w:p>
      <w:pPr>
        <w:pStyle w:val="Heading2"/>
      </w:pPr>
      <w:r>
        <w:rPr>
          <w:rStyle w:val="SectionNumber"/>
        </w:rPr>
        <w:t xml:space="preserve">4.2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 (рис. fig. 3, fig. 4, fig. 5).</w:t>
      </w:r>
    </w:p>
    <w:p>
      <w:pPr>
        <w:pStyle w:val="BodyText"/>
      </w:pPr>
      <w:r>
        <w:t xml:space="preserve">Параметры модели:</w:t>
      </w:r>
    </w:p>
    <w:p>
      <w:pPr>
        <w:pStyle w:val="BodyText"/>
      </w:pPr>
      <w:r>
        <w:t xml:space="preserve">– для корабля первого типа:</w:t>
      </w:r>
    </w:p>
    <w:p>
      <w:pPr>
        <w:pStyle w:val="BodyText"/>
      </w:pPr>
      <w:r>
        <w:t xml:space="preserve">– интервал прибытия: 130 ± 30 мин;</w:t>
      </w:r>
    </w:p>
    <w:p>
      <w:pPr>
        <w:pStyle w:val="BodyText"/>
      </w:pPr>
      <w:r>
        <w:t xml:space="preserve">– время входа в порт: 30 ± 7 мин;</w:t>
      </w:r>
    </w:p>
    <w:p>
      <w:pPr>
        <w:pStyle w:val="BodyText"/>
      </w:pPr>
      <w:r>
        <w:t xml:space="preserve">– количество доступных причалов: 6;</w:t>
      </w:r>
    </w:p>
    <w:p>
      <w:pPr>
        <w:pStyle w:val="BodyText"/>
      </w:pPr>
      <w:r>
        <w:t xml:space="preserve">– время погрузки/разгрузки: 12 ± 2 час;</w:t>
      </w:r>
    </w:p>
    <w:p>
      <w:pPr>
        <w:pStyle w:val="BodyText"/>
      </w:pPr>
      <w:r>
        <w:t xml:space="preserve">– время выхода из порта: 20 ± 5 мин;</w:t>
      </w:r>
    </w:p>
    <w:p>
      <w:pPr>
        <w:pStyle w:val="BodyText"/>
      </w:pPr>
      <w:r>
        <w:t xml:space="preserve">– для корабля второго типа:</w:t>
      </w:r>
    </w:p>
    <w:p>
      <w:pPr>
        <w:pStyle w:val="BodyText"/>
      </w:pPr>
      <w:r>
        <w:t xml:space="preserve">– интервал прибытия: 390 ± 60 мин;</w:t>
      </w:r>
    </w:p>
    <w:p>
      <w:pPr>
        <w:pStyle w:val="BodyText"/>
      </w:pPr>
      <w:r>
        <w:t xml:space="preserve">– время входа в порт: 45 ± 12 мин;</w:t>
      </w:r>
    </w:p>
    <w:p>
      <w:pPr>
        <w:pStyle w:val="BodyText"/>
      </w:pPr>
      <w:r>
        <w:t xml:space="preserve">– количество доступных причалов: 3;</w:t>
      </w:r>
    </w:p>
    <w:p>
      <w:pPr>
        <w:pStyle w:val="BodyText"/>
      </w:pPr>
      <w:r>
        <w:t xml:space="preserve">– время погрузки/разгрузки: 18 ± 4 час;</w:t>
      </w:r>
    </w:p>
    <w:p>
      <w:pPr>
        <w:pStyle w:val="BodyText"/>
      </w:pPr>
      <w:r>
        <w:t xml:space="preserve">– время выхода из порта: 35 ± 10 мин.</w:t>
      </w:r>
    </w:p>
    <w:p>
      <w:pPr>
        <w:pStyle w:val="BodyText"/>
      </w:pPr>
      <w:r>
        <w:t xml:space="preserve">– время моделирования: 365 дней по 8 часов.</w:t>
      </w:r>
    </w:p>
    <w:p>
      <w:pPr>
        <w:pStyle w:val="CaptionedFigure"/>
      </w:pPr>
      <w:bookmarkStart w:id="35" w:name="fig:003"/>
      <w:r>
        <w:drawing>
          <wp:inline>
            <wp:extent cx="3549650" cy="4546600"/>
            <wp:effectExtent b="0" l="0" r="0" t="0"/>
            <wp:docPr descr="Рис. 3: Модель обслуживания в порту судов двух типов" title="" id="33" name="Picture"/>
            <a:graphic>
              <a:graphicData uri="http://schemas.openxmlformats.org/drawingml/2006/picture">
                <pic:pic>
                  <pic:nvPicPr>
                    <pic:cNvPr descr="image/3.jpg" id="34" name="Picture"/>
                    <pic:cNvPicPr>
                      <a:picLocks noChangeArrowheads="1" noChangeAspect="1"/>
                    </pic:cNvPicPr>
                  </pic:nvPicPr>
                  <pic:blipFill>
                    <a:blip r:embed="rId32"/>
                    <a:stretch>
                      <a:fillRect/>
                    </a:stretch>
                  </pic:blipFill>
                  <pic:spPr bwMode="auto">
                    <a:xfrm>
                      <a:off x="0" y="0"/>
                      <a:ext cx="3549650" cy="4546600"/>
                    </a:xfrm>
                    <a:prstGeom prst="rect">
                      <a:avLst/>
                    </a:prstGeom>
                    <a:noFill/>
                    <a:ln w="9525">
                      <a:noFill/>
                      <a:headEnd/>
                      <a:tailEnd/>
                    </a:ln>
                  </pic:spPr>
                </pic:pic>
              </a:graphicData>
            </a:graphic>
          </wp:inline>
        </w:drawing>
      </w:r>
      <w:bookmarkEnd w:id="35"/>
    </w:p>
    <w:p>
      <w:pPr>
        <w:pStyle w:val="ImageCaption"/>
      </w:pPr>
      <w:r>
        <w:t xml:space="preserve">Рис. 3: Модель обслуживания в порту судов двух типов</w:t>
      </w:r>
    </w:p>
    <w:p>
      <w:pPr>
        <w:pStyle w:val="CaptionedFigure"/>
      </w:pPr>
      <w:bookmarkStart w:id="39" w:name="fig:004"/>
      <w:r>
        <w:drawing>
          <wp:inline>
            <wp:extent cx="4102100" cy="4756150"/>
            <wp:effectExtent b="0" l="0" r="0" t="0"/>
            <wp:docPr descr="Рис. 4: Отчёт по модели обслуживания в порту судов двух типов" title="" id="37" name="Picture"/>
            <a:graphic>
              <a:graphicData uri="http://schemas.openxmlformats.org/drawingml/2006/picture">
                <pic:pic>
                  <pic:nvPicPr>
                    <pic:cNvPr descr="image/4.jpg" id="38" name="Picture"/>
                    <pic:cNvPicPr>
                      <a:picLocks noChangeArrowheads="1" noChangeAspect="1"/>
                    </pic:cNvPicPr>
                  </pic:nvPicPr>
                  <pic:blipFill>
                    <a:blip r:embed="rId36"/>
                    <a:stretch>
                      <a:fillRect/>
                    </a:stretch>
                  </pic:blipFill>
                  <pic:spPr bwMode="auto">
                    <a:xfrm>
                      <a:off x="0" y="0"/>
                      <a:ext cx="4102100" cy="4756150"/>
                    </a:xfrm>
                    <a:prstGeom prst="rect">
                      <a:avLst/>
                    </a:prstGeom>
                    <a:noFill/>
                    <a:ln w="9525">
                      <a:noFill/>
                      <a:headEnd/>
                      <a:tailEnd/>
                    </a:ln>
                  </pic:spPr>
                </pic:pic>
              </a:graphicData>
            </a:graphic>
          </wp:inline>
        </w:drawing>
      </w:r>
      <w:bookmarkEnd w:id="39"/>
    </w:p>
    <w:p>
      <w:pPr>
        <w:pStyle w:val="ImageCaption"/>
      </w:pPr>
      <w:r>
        <w:t xml:space="preserve">Рис. 4: Отчёт по модели обслуживания в порту судов двух типов</w:t>
      </w:r>
    </w:p>
    <w:p>
      <w:pPr>
        <w:pStyle w:val="CaptionedFigure"/>
      </w:pPr>
      <w:bookmarkStart w:id="43" w:name="fig:005"/>
      <w:r>
        <w:drawing>
          <wp:inline>
            <wp:extent cx="4222750" cy="4826000"/>
            <wp:effectExtent b="0" l="0" r="0" t="0"/>
            <wp:docPr descr="Рис. 5: Отчёт по модели обслуживания в порту судов двух типов" title="" id="41" name="Picture"/>
            <a:graphic>
              <a:graphicData uri="http://schemas.openxmlformats.org/drawingml/2006/picture">
                <pic:pic>
                  <pic:nvPicPr>
                    <pic:cNvPr descr="image/5.jpg" id="42" name="Picture"/>
                    <pic:cNvPicPr>
                      <a:picLocks noChangeArrowheads="1" noChangeAspect="1"/>
                    </pic:cNvPicPr>
                  </pic:nvPicPr>
                  <pic:blipFill>
                    <a:blip r:embed="rId40"/>
                    <a:stretch>
                      <a:fillRect/>
                    </a:stretch>
                  </pic:blipFill>
                  <pic:spPr bwMode="auto">
                    <a:xfrm>
                      <a:off x="0" y="0"/>
                      <a:ext cx="4222750" cy="4826000"/>
                    </a:xfrm>
                    <a:prstGeom prst="rect">
                      <a:avLst/>
                    </a:prstGeom>
                    <a:noFill/>
                    <a:ln w="9525">
                      <a:noFill/>
                      <a:headEnd/>
                      <a:tailEnd/>
                    </a:ln>
                  </pic:spPr>
                </pic:pic>
              </a:graphicData>
            </a:graphic>
          </wp:inline>
        </w:drawing>
      </w:r>
      <w:bookmarkEnd w:id="43"/>
    </w:p>
    <w:p>
      <w:pPr>
        <w:pStyle w:val="ImageCaption"/>
      </w:pPr>
      <w:r>
        <w:t xml:space="preserve">Рис. 5: Отчёт по модели обслуживания в порту судов двух типов</w:t>
      </w:r>
    </w:p>
    <w:p>
      <w:pPr>
        <w:pStyle w:val="BodyText"/>
      </w:pPr>
      <w:r>
        <w:rPr>
          <w:bCs/>
          <w:b/>
        </w:rPr>
        <w:t xml:space="preserve">Задание</w:t>
      </w:r>
      <w:r>
        <w:t xml:space="preserve">: проанализировать отчёт.</w:t>
      </w:r>
    </w:p>
    <w:p>
      <w:pPr>
        <w:pStyle w:val="BodyText"/>
      </w:pPr>
      <w:r>
        <w:t xml:space="preserve">Результаты работы модели:</w:t>
      </w:r>
    </w:p>
    <w:p>
      <w:pPr>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 175200.0 (365 дней по 3 часов в день);</w:t>
      </w:r>
    </w:p>
    <w:p>
      <w:pPr>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BUKS</w:t>
      </w:r>
      <w:r>
        <w:t xml:space="preserve">,</w:t>
      </w:r>
      <w:r>
        <w:t xml:space="preserve"> </w:t>
      </w:r>
      <w:r>
        <w:rPr>
          <w:rStyle w:val="VerbatimChar"/>
        </w:rPr>
        <w:t xml:space="preserve">PRCH1</w:t>
      </w:r>
      <w:r>
        <w:t xml:space="preserve">,</w:t>
      </w:r>
      <w:r>
        <w:t xml:space="preserve"> </w:t>
      </w:r>
      <w:r>
        <w:rPr>
          <w:rStyle w:val="VerbatimChar"/>
        </w:rPr>
        <w:t xml:space="preserve">PRCH2</w:t>
      </w:r>
      <w:r>
        <w:t xml:space="preserve">,</w:t>
      </w:r>
      <w:r>
        <w:t xml:space="preserve"> </w:t>
      </w:r>
      <w:r>
        <w:rPr>
          <w:rStyle w:val="VerbatimChar"/>
        </w:rPr>
        <w:t xml:space="preserve">TYPE1</w:t>
      </w:r>
      <w:r>
        <w:t xml:space="preserve">,</w:t>
      </w:r>
      <w:r>
        <w:t xml:space="preserve"> </w:t>
      </w:r>
      <w:r>
        <w:rPr>
          <w:rStyle w:val="VerbatimChar"/>
        </w:rPr>
        <w:t xml:space="preserve">TYPE2</w:t>
      </w:r>
      <w:r>
        <w:t xml:space="preserve">.</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w:t>
      </w:r>
    </w:p>
    <w:p>
      <w:pPr>
        <w:pStyle w:val="BodyText"/>
      </w:pPr>
      <w:r>
        <w:t xml:space="preserve">Затем идёт информация об многоканальных устройствах</w:t>
      </w:r>
      <w:r>
        <w:t xml:space="preserve"> </w:t>
      </w:r>
      <w:r>
        <w:rPr>
          <w:rStyle w:val="VerbatimChar"/>
        </w:rPr>
        <w:t xml:space="preserve">STORAGE</w:t>
      </w:r>
      <w:r>
        <w:t xml:space="preserve">. В данной части отчета модно узнать об емкости многоканальных устройств, минимальных и максимальных количествах используемых устройств (каналов), количество транзакотов (в рамках данной задачи – судов), полезность утройств и среднее число испоьзуемых каналов.</w:t>
      </w:r>
    </w:p>
    <w:p>
      <w:pPr>
        <w:pStyle w:val="BodyText"/>
      </w:pPr>
      <w:r>
        <w:t xml:space="preserve">Далее информация об очереди:</w:t>
      </w:r>
    </w:p>
    <w:p>
      <w:pPr>
        <w:pStyle w:val="BodyText"/>
      </w:pPr>
      <w:r>
        <w:t xml:space="preserve">Имеются 2 объекта типа</w:t>
      </w:r>
      <w:r>
        <w:t xml:space="preserve"> </w:t>
      </w:r>
      <w:r>
        <w:t xml:space="preserve">“</w:t>
      </w:r>
      <w:r>
        <w:t xml:space="preserve">очередь</w:t>
      </w:r>
      <w:r>
        <w:t xml:space="preserve">”</w:t>
      </w:r>
      <w:r>
        <w:t xml:space="preserve"> </w:t>
      </w:r>
      <w:r>
        <w:t xml:space="preserve">-</w:t>
      </w:r>
      <w:r>
        <w:t xml:space="preserve"> </w:t>
      </w:r>
      <w:r>
        <w:rPr>
          <w:rStyle w:val="VerbatimChar"/>
        </w:rPr>
        <w:t xml:space="preserve">TYPE1</w:t>
      </w:r>
      <w:r>
        <w:t xml:space="preserve">,</w:t>
      </w:r>
      <w:r>
        <w:t xml:space="preserve"> </w:t>
      </w:r>
      <w:r>
        <w:rPr>
          <w:rStyle w:val="VerbatimChar"/>
        </w:rPr>
        <w:t xml:space="preserve">TYPE2</w:t>
      </w:r>
      <w:r>
        <w:t xml:space="preserve">. В данной части отчета расположена инфомация о максимальном кол-ве транзактов (судов) в очереди кажого типа, среднее время пребывания о очереди, среднее кол-во судов в очереди и т. д.</w:t>
      </w:r>
    </w:p>
    <w:p>
      <w:pPr>
        <w:pStyle w:val="BodyText"/>
      </w:pPr>
      <w:r>
        <w:t xml:space="preserve">В конце отчёта идёт информация о будущих событиях.</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реализовала модели обслуживания с приоритетами и провела анализ результатов.</w:t>
      </w:r>
    </w:p>
    <w:bookmarkEnd w:id="46"/>
    <w:bookmarkStart w:id="50" w:name="список-литературы"/>
    <w:p>
      <w:pPr>
        <w:pStyle w:val="Heading1"/>
      </w:pPr>
      <w:r>
        <w:t xml:space="preserve">Список литературы</w:t>
      </w:r>
    </w:p>
    <w:bookmarkStart w:id="49" w:name="refs"/>
    <w:bookmarkStart w:id="47" w:name="ref-Korolkova2025"/>
    <w:p>
      <w:pPr>
        <w:pStyle w:val="Bibliography"/>
      </w:pPr>
      <w:r>
        <w:t xml:space="preserve">1.</w:t>
      </w:r>
      <w:r>
        <w:t xml:space="preserve"> </w:t>
      </w:r>
      <w:r>
        <w:t xml:space="preserve">	</w:t>
      </w:r>
      <w:r>
        <w:t xml:space="preserve">В. К.А., С. К.Д. Руководство к лабораторной работе №14. Моделирование информационных процессов. Модели обслуживания с приоритетами. 2025. С. 4.</w:t>
      </w:r>
    </w:p>
    <w:bookmarkEnd w:id="47"/>
    <w:bookmarkStart w:id="48" w:name="ref-sosnovikov2023"/>
    <w:p>
      <w:pPr>
        <w:pStyle w:val="Bibliography"/>
      </w:pPr>
      <w:r>
        <w:t xml:space="preserve">2.</w:t>
      </w:r>
      <w:r>
        <w:t xml:space="preserve"> </w:t>
      </w:r>
      <w:r>
        <w:t xml:space="preserve">	</w:t>
      </w:r>
      <w:r>
        <w:t xml:space="preserve">Сосновиков Г.К., Воробейчиков Л.А. Компьютерное моделирование. Практикум по имитационному моделированию в среде GPSS World. 2023. С. 112.</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40" Target="media/rId4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Астраханцева А. А.</dc:creator>
  <dc:language>ru-RU</dc:language>
  <cp:keywords/>
  <dcterms:created xsi:type="dcterms:W3CDTF">2025-05-17T19:29:56Z</dcterms:created>
  <dcterms:modified xsi:type="dcterms:W3CDTF">2025-05-17T19:29:56Z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Модели обслуживания с приоритетами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