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120" w:after="880" w:lineRule="auto" w:line="240"/>
      </w:pPr>
      <w:r>
        <w:rPr>
          <w:rFonts w:ascii="Calibri" w:hAnsi="Calibri" w:eastAsia="Calibri"/>
          <w:b/>
          <w:color w:val="0F766E"/>
          <w:sz w:val="18"/>
        </w:rPr>
        <w:t>SAMSUNG INNOVATION CAMPUS · CAPSTONE PROJESİ · GRUP 3</w:t>
      </w:r>
    </w:p>
    <w:p>
      <w:pPr>
        <w:keepNext w:val="0"/>
        <w:widowControl/>
        <w:spacing w:before="0" w:after="40" w:lineRule="auto" w:line="240"/>
      </w:pPr>
      <w:r>
        <w:rPr>
          <w:rFonts w:ascii="Calibri" w:hAnsi="Calibri" w:eastAsia="Calibri"/>
          <w:b/>
          <w:color w:val="071C2C"/>
          <w:sz w:val="60"/>
        </w:rPr>
        <w:t>ARGUS AI</w:t>
      </w:r>
    </w:p>
    <w:p>
      <w:pPr>
        <w:keepNext w:val="0"/>
        <w:widowControl/>
        <w:spacing w:before="0" w:after="40" w:lineRule="auto" w:line="240"/>
      </w:pPr>
      <w:r>
        <w:rPr>
          <w:rFonts w:ascii="Calibri" w:hAnsi="Calibri" w:eastAsia="Calibri"/>
          <w:b/>
          <w:color w:val="071C2C"/>
          <w:sz w:val="36"/>
        </w:rPr>
        <w:t>Makine Öğrenmesi Proje Dokümantasyonu</w:t>
      </w:r>
    </w:p>
    <w:p>
      <w:pPr>
        <w:keepNext w:val="0"/>
        <w:widowControl/>
        <w:spacing w:before="0" w:after="360" w:lineRule="auto" w:line="240"/>
      </w:pPr>
      <w:r>
        <w:rPr>
          <w:rFonts w:ascii="Calibri" w:hAnsi="Calibri" w:eastAsia="Calibri"/>
          <w:b/>
          <w:color w:val="0F766E"/>
          <w:sz w:val="32"/>
        </w:rPr>
        <w:t>Deployment Submission</w:t>
      </w:r>
    </w:p>
    <w:p>
      <w:pPr>
        <w:keepNext w:val="0"/>
        <w:widowControl/>
        <w:spacing w:before="0" w:after="520" w:lineRule="auto" w:line="283"/>
      </w:pPr>
      <w:r>
        <w:rPr>
          <w:rFonts w:ascii="Calibri" w:hAnsi="Calibri" w:eastAsia="Calibri"/>
          <w:color w:val="152B3A"/>
          <w:sz w:val="26"/>
        </w:rPr>
        <w:t>Graph tabanlı finansal suç inceleme sisteminin güvenilir artifact yönetimi, Streamlit Community Cloud yayını, güvenlik sınırları ve üretimleşme planı</w:t>
      </w:r>
    </w:p>
    <w:tbl>
      <w:tblPr>
        <w:tblW w:type="dxa" w:w="9300"/>
        <w:jc w:val="left"/>
        <w:tblLayout w:type="fixed"/>
        <w:tblLook w:firstColumn="1" w:firstRow="1" w:lastColumn="0" w:lastRow="0" w:noHBand="0" w:noVBand="1" w:val="04A0"/>
        <w:tblInd w:w="120" w:type="dxa"/>
      </w:tblPr>
      <w:tblGrid>
        <w:gridCol w:w="2050"/>
        <w:gridCol w:w="7250"/>
      </w:tblGrid>
      <w:tr>
        <w:tc>
          <w:tcPr>
            <w:tcW w:type="dxa" w:w="2050"/>
            <w:tcMar>
              <w:top w:w="65" w:type="dxa"/>
              <w:start w:w="120" w:type="dxa"/>
              <w:bottom w:w="65" w:type="dxa"/>
              <w:end w:w="120" w:type="dxa"/>
            </w:tcMar>
            <w:vAlign w:val="center"/>
            <w:shd w:fill="EEF3F3"/>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color w:val="0F766E"/>
                <w:sz w:val="18"/>
              </w:rPr>
              <w:t>Hazırlayanlar</w:t>
            </w:r>
          </w:p>
        </w:tc>
        <w:tc>
          <w:tcPr>
            <w:tcW w:type="dxa" w:w="7250"/>
            <w:tcMar>
              <w:top w:w="65" w:type="dxa"/>
              <w:start w:w="120" w:type="dxa"/>
              <w:bottom w:w="65" w:type="dxa"/>
              <w:end w:w="120" w:type="dxa"/>
            </w:tcMar>
            <w:vAlign w:val="center"/>
            <w:shd w:fill="FFFFFF"/>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9"/>
              </w:rPr>
              <w:t>Gizem Özcan · Ayşe Ulaşlı</w:t>
            </w:r>
          </w:p>
        </w:tc>
      </w:tr>
      <w:tr>
        <w:tc>
          <w:tcPr>
            <w:tcW w:type="dxa" w:w="2050"/>
            <w:tcMar>
              <w:top w:w="65" w:type="dxa"/>
              <w:start w:w="120" w:type="dxa"/>
              <w:bottom w:w="65" w:type="dxa"/>
              <w:end w:w="120" w:type="dxa"/>
            </w:tcMar>
            <w:vAlign w:val="center"/>
            <w:shd w:fill="EEF3F3"/>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color w:val="0F766E"/>
                <w:sz w:val="18"/>
              </w:rPr>
              <w:t>Program</w:t>
            </w:r>
          </w:p>
        </w:tc>
        <w:tc>
          <w:tcPr>
            <w:tcW w:type="dxa" w:w="7250"/>
            <w:tcMar>
              <w:top w:w="65" w:type="dxa"/>
              <w:start w:w="120" w:type="dxa"/>
              <w:bottom w:w="65" w:type="dxa"/>
              <w:end w:w="120" w:type="dxa"/>
            </w:tcMar>
            <w:vAlign w:val="center"/>
            <w:shd w:fill="FFFFFF"/>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9"/>
              </w:rPr>
              <w:t>Samsung Innovation Campus 2025-2026 · Pazarlamada Yapay Zekâ</w:t>
            </w:r>
          </w:p>
        </w:tc>
      </w:tr>
      <w:tr>
        <w:tc>
          <w:tcPr>
            <w:tcW w:type="dxa" w:w="2050"/>
            <w:tcMar>
              <w:top w:w="65" w:type="dxa"/>
              <w:start w:w="120" w:type="dxa"/>
              <w:bottom w:w="65" w:type="dxa"/>
              <w:end w:w="120" w:type="dxa"/>
            </w:tcMar>
            <w:vAlign w:val="center"/>
            <w:shd w:fill="EEF3F3"/>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color w:val="0F766E"/>
                <w:sz w:val="18"/>
              </w:rPr>
              <w:t>Teslim</w:t>
            </w:r>
          </w:p>
        </w:tc>
        <w:tc>
          <w:tcPr>
            <w:tcW w:type="dxa" w:w="7250"/>
            <w:tcMar>
              <w:top w:w="65" w:type="dxa"/>
              <w:start w:w="120" w:type="dxa"/>
              <w:bottom w:w="65" w:type="dxa"/>
              <w:end w:w="120" w:type="dxa"/>
            </w:tcMar>
            <w:vAlign w:val="center"/>
            <w:shd w:fill="FFFFFF"/>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9"/>
              </w:rPr>
              <w:t>Deployment · Türkçe teknik rapor</w:t>
            </w:r>
          </w:p>
        </w:tc>
      </w:tr>
      <w:tr>
        <w:tc>
          <w:tcPr>
            <w:tcW w:type="dxa" w:w="2050"/>
            <w:tcMar>
              <w:top w:w="65" w:type="dxa"/>
              <w:start w:w="120" w:type="dxa"/>
              <w:bottom w:w="65" w:type="dxa"/>
              <w:end w:w="120" w:type="dxa"/>
            </w:tcMar>
            <w:vAlign w:val="center"/>
            <w:shd w:fill="EEF3F3"/>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color w:val="0F766E"/>
                <w:sz w:val="18"/>
              </w:rPr>
              <w:t>Tarih</w:t>
            </w:r>
          </w:p>
        </w:tc>
        <w:tc>
          <w:tcPr>
            <w:tcW w:type="dxa" w:w="7250"/>
            <w:tcMar>
              <w:top w:w="65" w:type="dxa"/>
              <w:start w:w="120" w:type="dxa"/>
              <w:bottom w:w="65" w:type="dxa"/>
              <w:end w:w="120" w:type="dxa"/>
            </w:tcMar>
            <w:vAlign w:val="center"/>
            <w:shd w:fill="FFFFFF"/>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9"/>
              </w:rPr>
              <w:t>20 Eylül 2026</w:t>
            </w:r>
          </w:p>
        </w:tc>
      </w:tr>
    </w:tbl>
    <w:p/>
    <w:tbl>
      <w:tblPr>
        <w:tblW w:type="dxa" w:w="9300"/>
        <w:jc w:val="left"/>
        <w:tblLayout w:type="fixed"/>
        <w:tblLook w:firstColumn="1" w:firstRow="1" w:lastColumn="0" w:lastRow="0" w:noHBand="0" w:noVBand="1" w:val="04A0"/>
        <w:tblInd w:w="120" w:type="dxa"/>
      </w:tblPr>
      <w:tblGrid>
        <w:gridCol w:w="3100"/>
        <w:gridCol w:w="3100"/>
        <w:gridCol w:w="3100"/>
      </w:tblGrid>
      <w:tr>
        <w:tc>
          <w:tcPr>
            <w:tcW w:type="dxa" w:w="3100"/>
            <w:tcMar>
              <w:top w:w="65" w:type="dxa"/>
              <w:start w:w="120" w:type="dxa"/>
              <w:bottom w:w="65" w:type="dxa"/>
              <w:end w:w="120" w:type="dxa"/>
            </w:tcMar>
            <w:vAlign w:val="center"/>
            <w:shd w:fill="071C2C"/>
            <w:tcBorders>
              <w:top w:val="nil"/>
              <w:left w:val="nil"/>
              <w:bottom w:val="nil"/>
              <w:right w:val="nil"/>
              <w:insideH w:val="nil"/>
              <w:insideV w:val="nil"/>
            </w:tcBorders>
          </w:tcPr>
          <w:p>
            <w:pPr>
              <w:keepNext w:val="0"/>
              <w:widowControl/>
              <w:spacing w:before="0" w:after="0" w:lineRule="auto" w:line="240"/>
              <w:jc w:val="center"/>
            </w:pPr>
            <w:r>
              <w:rPr>
                <w:rFonts w:ascii="Calibri" w:hAnsi="Calibri" w:eastAsia="Calibri"/>
                <w:b/>
                <w:color w:val="70D6CF"/>
                <w:sz w:val="16"/>
              </w:rPr>
              <w:t>CANLI DEMO</w:t>
              <w:br/>
            </w:r>
            <w:r>
              <w:rPr>
                <w:rFonts w:ascii="Calibri" w:hAnsi="Calibri" w:eastAsia="Calibri"/>
                <w:b/>
                <w:color w:val="FFFFFF"/>
                <w:sz w:val="20"/>
              </w:rPr>
              <w:t>Streamlit Cloud</w:t>
            </w:r>
          </w:p>
        </w:tc>
        <w:tc>
          <w:tcPr>
            <w:tcW w:type="dxa" w:w="3100"/>
            <w:tcMar>
              <w:top w:w="65" w:type="dxa"/>
              <w:start w:w="120" w:type="dxa"/>
              <w:bottom w:w="65" w:type="dxa"/>
              <w:end w:w="120" w:type="dxa"/>
            </w:tcMar>
            <w:vAlign w:val="center"/>
            <w:shd w:fill="071C2C"/>
            <w:tcBorders>
              <w:top w:val="nil"/>
              <w:left w:val="nil"/>
              <w:bottom w:val="nil"/>
              <w:right w:val="nil"/>
              <w:insideH w:val="nil"/>
              <w:insideV w:val="nil"/>
            </w:tcBorders>
          </w:tcPr>
          <w:p>
            <w:pPr>
              <w:keepNext w:val="0"/>
              <w:widowControl/>
              <w:spacing w:before="0" w:after="0" w:lineRule="auto" w:line="240"/>
              <w:jc w:val="center"/>
            </w:pPr>
            <w:r>
              <w:rPr>
                <w:rFonts w:ascii="Calibri" w:hAnsi="Calibri" w:eastAsia="Calibri"/>
                <w:b/>
                <w:color w:val="70D6CF"/>
                <w:sz w:val="16"/>
              </w:rPr>
              <w:t>MODEL</w:t>
              <w:br/>
            </w:r>
            <w:r>
              <w:rPr>
                <w:rFonts w:ascii="Calibri" w:hAnsi="Calibri" w:eastAsia="Calibri"/>
                <w:b/>
                <w:color w:val="FFFFFF"/>
                <w:sz w:val="20"/>
              </w:rPr>
              <w:t>Graph-enhanced LightGBM</w:t>
            </w:r>
          </w:p>
        </w:tc>
        <w:tc>
          <w:tcPr>
            <w:tcW w:type="dxa" w:w="3100"/>
            <w:tcMar>
              <w:top w:w="65" w:type="dxa"/>
              <w:start w:w="120" w:type="dxa"/>
              <w:bottom w:w="65" w:type="dxa"/>
              <w:end w:w="120" w:type="dxa"/>
            </w:tcMar>
            <w:vAlign w:val="center"/>
            <w:shd w:fill="071C2C"/>
            <w:tcBorders>
              <w:top w:val="nil"/>
              <w:left w:val="nil"/>
              <w:bottom w:val="nil"/>
              <w:right w:val="nil"/>
              <w:insideH w:val="nil"/>
              <w:insideV w:val="nil"/>
            </w:tcBorders>
          </w:tcPr>
          <w:p>
            <w:pPr>
              <w:keepNext w:val="0"/>
              <w:widowControl/>
              <w:spacing w:before="0" w:after="0" w:lineRule="auto" w:line="240"/>
              <w:jc w:val="center"/>
            </w:pPr>
            <w:r>
              <w:rPr>
                <w:rFonts w:ascii="Calibri" w:hAnsi="Calibri" w:eastAsia="Calibri"/>
                <w:b/>
                <w:color w:val="70D6CF"/>
                <w:sz w:val="16"/>
              </w:rPr>
              <w:t>KARAR</w:t>
              <w:br/>
            </w:r>
            <w:r>
              <w:rPr>
                <w:rFonts w:ascii="Calibri" w:hAnsi="Calibri" w:eastAsia="Calibri"/>
                <w:b/>
                <w:color w:val="FFFFFF"/>
                <w:sz w:val="20"/>
              </w:rPr>
              <w:t>İnsan denetimli</w:t>
            </w:r>
          </w:p>
        </w:tc>
      </w:tr>
    </w:tbl>
    <w:p/>
    <w:p>
      <w:pPr>
        <w:keepNext w:val="0"/>
        <w:widowControl/>
        <w:spacing w:before="0" w:after="40" w:lineRule="auto" w:line="252"/>
        <w:jc w:val="left"/>
      </w:pPr>
      <w:r>
        <w:rPr>
          <w:rFonts w:ascii="Calibri" w:hAnsi="Calibri" w:eastAsia="Calibri"/>
          <w:b/>
          <w:color w:val="152B3A"/>
          <w:sz w:val="20"/>
        </w:rPr>
        <w:t xml:space="preserve">Canlı uygulama: </w:t>
      </w:r>
      <w:hyperlink r:id="rId13">
        <w:r>
          <w:rPr>
            <w:rFonts w:ascii="Calibri" w:hAnsi="Calibri"/>
            <w:color w:val="0F766E"/>
            <w:b/>
            <w:u w:val="single"/>
          </w:rPr>
          <w:t>ARGUS Streamlit uygulamasını aç</w:t>
        </w:r>
      </w:hyperlink>
    </w:p>
    <w:p>
      <w:pPr>
        <w:keepNext w:val="0"/>
        <w:widowControl/>
        <w:spacing w:before="0" w:after="0" w:lineRule="auto" w:line="252"/>
      </w:pPr>
      <w:r>
        <w:rPr>
          <w:rFonts w:ascii="Calibri" w:hAnsi="Calibri" w:eastAsia="Calibri"/>
          <w:b/>
          <w:color w:val="152B3A"/>
          <w:sz w:val="20"/>
        </w:rPr>
        <w:t xml:space="preserve">Ana depo: </w:t>
      </w:r>
      <w:hyperlink r:id="rId14">
        <w:r>
          <w:rPr>
            <w:rFonts w:ascii="Calibri" w:hAnsi="Calibri"/>
            <w:color w:val="0F766E"/>
            <w:u w:val="single"/>
          </w:rPr>
          <w:t>github.com/edasaruhan/SIC_AI_17_Capstone_Group_3</w:t>
        </w:r>
      </w:hyperlink>
    </w:p>
    <w:p>
      <w:r>
        <w:br w:type="page"/>
      </w:r>
    </w:p>
    <w:p>
      <w:pPr>
        <w:pStyle w:val="Heading1"/>
        <w:keepNext/>
        <w:widowControl/>
        <w:spacing w:before="0" w:after="160" w:lineRule="auto" w:line="240"/>
      </w:pPr>
      <w:r>
        <w:rPr>
          <w:rFonts w:ascii="Calibri" w:hAnsi="Calibri" w:eastAsia="Calibri"/>
          <w:b/>
          <w:color w:val="071C2C"/>
          <w:sz w:val="32"/>
        </w:rPr>
        <w:t>Yönetici Özeti</w:t>
      </w:r>
    </w:p>
    <w:p>
      <w:pPr>
        <w:keepNext w:val="0"/>
        <w:widowControl/>
        <w:spacing w:before="0" w:after="120" w:lineRule="auto" w:line="252"/>
      </w:pPr>
      <w:r>
        <w:rPr>
          <w:rFonts w:ascii="Calibri" w:hAnsi="Calibri" w:eastAsia="Calibri"/>
          <w:i w:val="0"/>
          <w:color w:val="152B3A"/>
          <w:sz w:val="19"/>
        </w:rPr>
        <w:t>ARGUS AI, finansal işlem kayıtlarını zaman, geçmiş davranış ve yönlü hesap ağı bağlamıyla birlikte sıralayan; sonucu bir suç kararı olarak değil, analist inceleme önceliği olarak sunan insan denetimli bir karar destek prototipidir. Dağıtım katmanı, dondurulmuş bilimsel sonuçları değiştirmeden ürünü erişilebilir kılmak üzere tasarlanmıştır.</w:t>
      </w:r>
    </w:p>
    <w:tbl>
      <w:tblPr>
        <w:tblW w:type="dxa" w:w="9300"/>
        <w:jc w:val="left"/>
        <w:tblLayout w:type="fixed"/>
        <w:tblLook w:firstColumn="1" w:firstRow="1" w:lastColumn="0" w:lastRow="0" w:noHBand="0" w:noVBand="1" w:val="04A0"/>
        <w:tblInd w:w="120" w:type="dxa"/>
      </w:tblPr>
      <w:tblGrid>
        <w:gridCol w:w="150"/>
        <w:gridCol w:w="9150"/>
      </w:tblGrid>
      <w:tr>
        <w:tc>
          <w:tcPr>
            <w:tcW w:type="dxa" w:w="150"/>
            <w:tcMar>
              <w:top w:w="65" w:type="dxa"/>
              <w:start w:w="120" w:type="dxa"/>
              <w:bottom w:w="65" w:type="dxa"/>
              <w:end w:w="120" w:type="dxa"/>
            </w:tcMar>
            <w:vAlign w:val="center"/>
            <w:shd w:fill="0F766E"/>
            <w:tcBorders>
              <w:top w:val="nil"/>
              <w:left w:val="nil"/>
              <w:bottom w:val="nil"/>
              <w:right w:val="nil"/>
              <w:insideH w:val="nil"/>
              <w:insideV w:val="nil"/>
            </w:tcBorders>
          </w:tcPr>
          <w:p/>
        </w:tc>
        <w:tc>
          <w:tcPr>
            <w:tcW w:type="dxa" w:w="9150"/>
            <w:tcMar>
              <w:top w:w="150" w:type="dxa"/>
              <w:start w:w="120" w:type="dxa"/>
              <w:bottom w:w="150" w:type="dxa"/>
              <w:end w:w="180" w:type="dxa"/>
            </w:tcMar>
            <w:vAlign w:val="center"/>
            <w:shd w:fill="EEF3F3"/>
            <w:tcBorders>
              <w:top w:val="nil"/>
              <w:left w:val="nil"/>
              <w:bottom w:val="nil"/>
              <w:right w:val="nil"/>
              <w:insideH w:val="nil"/>
              <w:insideV w:val="nil"/>
            </w:tcBorders>
          </w:tcPr>
          <w:p>
            <w:pPr>
              <w:keepNext w:val="0"/>
              <w:widowControl/>
              <w:spacing w:before="0" w:after="0" w:lineRule="auto" w:line="264"/>
            </w:pPr>
            <w:r>
              <w:rPr>
                <w:rFonts w:ascii="Calibri" w:hAnsi="Calibri" w:eastAsia="Calibri"/>
                <w:b/>
                <w:color w:val="0F766E"/>
                <w:sz w:val="18"/>
              </w:rPr>
              <w:t xml:space="preserve">TEMEL DAĞITIM KARARI  </w:t>
            </w:r>
            <w:r>
              <w:rPr>
                <w:rFonts w:ascii="Calibri" w:hAnsi="Calibri" w:eastAsia="Calibri"/>
                <w:color w:val="152B3A"/>
                <w:sz w:val="20"/>
              </w:rPr>
              <w:t>Canlı Streamlit yayını çevrim içi model eğitimi veya gerçek banka işlemi skorlama yapmaz. Git ile izlenen sentetik demo paketi üzerinden ürün akışını gösterir. Dondurulmuş modeller ve gerçek deney artifact'ları yalnız doğrulanmış yerel pakette tutulur.</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Dağıtım mimarisi</w:t>
      </w:r>
    </w:p>
    <w:tbl>
      <w:tblPr>
        <w:tblW w:type="dxa" w:w="9300"/>
        <w:jc w:val="left"/>
        <w:tblLayout w:type="fixed"/>
        <w:tblLook w:firstColumn="1" w:firstRow="1" w:lastColumn="0" w:lastRow="0" w:noHBand="0" w:noVBand="1" w:val="04A0"/>
        <w:tblInd w:w="120" w:type="dxa"/>
      </w:tblPr>
      <w:tblGrid>
        <w:gridCol w:w="1800"/>
        <w:gridCol w:w="450"/>
        <w:gridCol w:w="1800"/>
        <w:gridCol w:w="450"/>
        <w:gridCol w:w="4800"/>
      </w:tblGrid>
      <w:tr>
        <w:tc>
          <w:tcPr>
            <w:tcW w:type="dxa" w:w="1800"/>
            <w:tcMar>
              <w:top w:w="65" w:type="dxa"/>
              <w:start w:w="120" w:type="dxa"/>
              <w:bottom w:w="65" w:type="dxa"/>
              <w:end w:w="120" w:type="dxa"/>
            </w:tcMar>
            <w:vAlign w:val="center"/>
            <w:tcBorders>
              <w:top w:val="nil"/>
              <w:left w:val="nil"/>
              <w:bottom w:val="nil"/>
              <w:right w:val="nil"/>
              <w:insideH w:val="nil"/>
              <w:insideV w:val="nil"/>
            </w:tcBorders>
            <w:shd w:fill="071C2C"/>
          </w:tcPr>
          <w:p>
            <w:pPr>
              <w:keepNext w:val="0"/>
              <w:widowControl/>
              <w:spacing w:before="0" w:after="0" w:lineRule="auto" w:line="252"/>
              <w:jc w:val="center"/>
            </w:pPr>
            <w:r>
              <w:rPr>
                <w:rFonts w:ascii="Calibri" w:hAnsi="Calibri" w:eastAsia="Calibri"/>
                <w:b/>
                <w:color w:val="FFFFFF"/>
                <w:sz w:val="19"/>
              </w:rPr>
              <w:t>Kaynak</w:t>
            </w:r>
          </w:p>
        </w:tc>
        <w:tc>
          <w:tcPr>
            <w:tcW w:type="dxa" w:w="450"/>
            <w:tcMar>
              <w:top w:w="65" w:type="dxa"/>
              <w:start w:w="120" w:type="dxa"/>
              <w:bottom w:w="65" w:type="dxa"/>
              <w:end w:w="120" w:type="dxa"/>
            </w:tcMar>
            <w:vAlign w:val="center"/>
            <w:tcBorders>
              <w:top w:val="nil"/>
              <w:left w:val="nil"/>
              <w:bottom w:val="nil"/>
              <w:right w:val="nil"/>
              <w:insideH w:val="nil"/>
              <w:insideV w:val="nil"/>
            </w:tcBorders>
            <w:shd w:fill="FFFFFF"/>
          </w:tcPr>
          <w:p>
            <w:pPr>
              <w:keepNext w:val="0"/>
              <w:widowControl/>
              <w:spacing w:before="0" w:after="0" w:lineRule="auto" w:line="252"/>
              <w:jc w:val="center"/>
            </w:pPr>
            <w:r>
              <w:rPr>
                <w:rFonts w:ascii="Calibri" w:hAnsi="Calibri" w:eastAsia="Calibri"/>
                <w:b/>
                <w:color w:val="0F766E"/>
                <w:sz w:val="24"/>
              </w:rPr>
              <w:t>→</w:t>
            </w:r>
          </w:p>
        </w:tc>
        <w:tc>
          <w:tcPr>
            <w:tcW w:type="dxa" w:w="1800"/>
            <w:tcMar>
              <w:top w:w="65" w:type="dxa"/>
              <w:start w:w="120" w:type="dxa"/>
              <w:bottom w:w="65" w:type="dxa"/>
              <w:end w:w="120" w:type="dxa"/>
            </w:tcMar>
            <w:vAlign w:val="center"/>
            <w:tcBorders>
              <w:top w:val="nil"/>
              <w:left w:val="nil"/>
              <w:bottom w:val="nil"/>
              <w:right w:val="nil"/>
              <w:insideH w:val="nil"/>
              <w:insideV w:val="nil"/>
            </w:tcBorders>
            <w:shd w:fill="071C2C"/>
          </w:tcPr>
          <w:p>
            <w:pPr>
              <w:keepNext w:val="0"/>
              <w:widowControl/>
              <w:spacing w:before="0" w:after="0" w:lineRule="auto" w:line="252"/>
              <w:jc w:val="center"/>
            </w:pPr>
            <w:r>
              <w:rPr>
                <w:rFonts w:ascii="Calibri" w:hAnsi="Calibri" w:eastAsia="Calibri"/>
                <w:b/>
                <w:color w:val="FFFFFF"/>
                <w:sz w:val="19"/>
              </w:rPr>
              <w:t>Kalite Kapısı</w:t>
            </w:r>
          </w:p>
        </w:tc>
        <w:tc>
          <w:tcPr>
            <w:tcW w:type="dxa" w:w="450"/>
            <w:tcMar>
              <w:top w:w="65" w:type="dxa"/>
              <w:start w:w="120" w:type="dxa"/>
              <w:bottom w:w="65" w:type="dxa"/>
              <w:end w:w="120" w:type="dxa"/>
            </w:tcMar>
            <w:vAlign w:val="center"/>
            <w:tcBorders>
              <w:top w:val="nil"/>
              <w:left w:val="nil"/>
              <w:bottom w:val="nil"/>
              <w:right w:val="nil"/>
              <w:insideH w:val="nil"/>
              <w:insideV w:val="nil"/>
            </w:tcBorders>
            <w:shd w:fill="FFFFFF"/>
          </w:tcPr>
          <w:p>
            <w:pPr>
              <w:keepNext w:val="0"/>
              <w:widowControl/>
              <w:spacing w:before="0" w:after="0" w:lineRule="auto" w:line="252"/>
              <w:jc w:val="center"/>
            </w:pPr>
            <w:r>
              <w:rPr>
                <w:rFonts w:ascii="Calibri" w:hAnsi="Calibri" w:eastAsia="Calibri"/>
                <w:b/>
                <w:color w:val="0F766E"/>
                <w:sz w:val="24"/>
              </w:rPr>
              <w:t>→</w:t>
            </w:r>
          </w:p>
        </w:tc>
        <w:tc>
          <w:tcPr>
            <w:tcW w:type="dxa" w:w="4800"/>
            <w:tcMar>
              <w:top w:w="65" w:type="dxa"/>
              <w:start w:w="120" w:type="dxa"/>
              <w:bottom w:w="65" w:type="dxa"/>
              <w:end w:w="120" w:type="dxa"/>
            </w:tcMar>
            <w:vAlign w:val="center"/>
            <w:tcBorders>
              <w:top w:val="nil"/>
              <w:left w:val="nil"/>
              <w:bottom w:val="nil"/>
              <w:right w:val="nil"/>
              <w:insideH w:val="nil"/>
              <w:insideV w:val="nil"/>
            </w:tcBorders>
            <w:shd w:fill="071C2C"/>
          </w:tcPr>
          <w:p>
            <w:pPr>
              <w:keepNext w:val="0"/>
              <w:widowControl/>
              <w:spacing w:before="0" w:after="0" w:lineRule="auto" w:line="252"/>
              <w:jc w:val="center"/>
            </w:pPr>
            <w:r>
              <w:rPr>
                <w:rFonts w:ascii="Calibri" w:hAnsi="Calibri" w:eastAsia="Calibri"/>
                <w:b/>
                <w:color w:val="FFFFFF"/>
                <w:sz w:val="19"/>
              </w:rPr>
              <w:t>Canlı Ürün</w:t>
            </w:r>
          </w:p>
        </w:tc>
      </w:tr>
      <w:tr>
        <w:tc>
          <w:tcPr>
            <w:tcW w:type="dxa" w:w="1800"/>
            <w:tcMar>
              <w:top w:w="65" w:type="dxa"/>
              <w:start w:w="120" w:type="dxa"/>
              <w:bottom w:w="65" w:type="dxa"/>
              <w:end w:w="120" w:type="dxa"/>
            </w:tcMar>
            <w:vAlign w:val="center"/>
            <w:tcBorders>
              <w:top w:val="nil"/>
              <w:left w:val="nil"/>
              <w:bottom w:val="nil"/>
              <w:right w:val="nil"/>
              <w:insideH w:val="nil"/>
              <w:insideV w:val="nil"/>
            </w:tcBorders>
            <w:shd w:fill="EEF3F3"/>
          </w:tcPr>
          <w:p>
            <w:pPr>
              <w:keepNext w:val="0"/>
              <w:widowControl/>
              <w:spacing w:before="0" w:after="0" w:lineRule="auto" w:line="252"/>
              <w:jc w:val="center"/>
            </w:pPr>
            <w:r>
              <w:rPr>
                <w:rFonts w:ascii="Calibri" w:hAnsi="Calibri" w:eastAsia="Calibri"/>
                <w:b/>
                <w:color w:val="152B3A"/>
                <w:sz w:val="19"/>
              </w:rPr>
              <w:t>GitHub main</w:t>
            </w:r>
          </w:p>
        </w:tc>
        <w:tc>
          <w:tcPr>
            <w:tcW w:type="dxa" w:w="450"/>
            <w:tcMar>
              <w:top w:w="65" w:type="dxa"/>
              <w:start w:w="120" w:type="dxa"/>
              <w:bottom w:w="65" w:type="dxa"/>
              <w:end w:w="120" w:type="dxa"/>
            </w:tcMar>
            <w:vAlign w:val="center"/>
            <w:tcBorders>
              <w:top w:val="nil"/>
              <w:left w:val="nil"/>
              <w:bottom w:val="nil"/>
              <w:right w:val="nil"/>
              <w:insideH w:val="nil"/>
              <w:insideV w:val="nil"/>
            </w:tcBorders>
            <w:shd w:fill="FFFFFF"/>
          </w:tcPr>
          <w:p>
            <w:pPr>
              <w:keepNext w:val="0"/>
              <w:widowControl/>
              <w:spacing w:before="0" w:after="0" w:lineRule="auto" w:line="252"/>
              <w:jc w:val="center"/>
            </w:pPr>
            <w:r>
              <w:rPr>
                <w:rFonts w:ascii="Calibri" w:hAnsi="Calibri" w:eastAsia="Calibri"/>
                <w:b/>
                <w:color w:val="0F766E"/>
                <w:sz w:val="24"/>
              </w:rPr>
            </w:r>
          </w:p>
        </w:tc>
        <w:tc>
          <w:tcPr>
            <w:tcW w:type="dxa" w:w="1800"/>
            <w:tcMar>
              <w:top w:w="65" w:type="dxa"/>
              <w:start w:w="120" w:type="dxa"/>
              <w:bottom w:w="65" w:type="dxa"/>
              <w:end w:w="120" w:type="dxa"/>
            </w:tcMar>
            <w:vAlign w:val="center"/>
            <w:tcBorders>
              <w:top w:val="nil"/>
              <w:left w:val="nil"/>
              <w:bottom w:val="nil"/>
              <w:right w:val="nil"/>
              <w:insideH w:val="nil"/>
              <w:insideV w:val="nil"/>
            </w:tcBorders>
            <w:shd w:fill="EEF3F3"/>
          </w:tcPr>
          <w:p>
            <w:pPr>
              <w:keepNext w:val="0"/>
              <w:widowControl/>
              <w:spacing w:before="0" w:after="0" w:lineRule="auto" w:line="252"/>
              <w:jc w:val="center"/>
            </w:pPr>
            <w:r>
              <w:rPr>
                <w:rFonts w:ascii="Calibri" w:hAnsi="Calibri" w:eastAsia="Calibri"/>
                <w:b/>
                <w:color w:val="152B3A"/>
                <w:sz w:val="19"/>
              </w:rPr>
              <w:t>GitHub Actions</w:t>
            </w:r>
          </w:p>
        </w:tc>
        <w:tc>
          <w:tcPr>
            <w:tcW w:type="dxa" w:w="450"/>
            <w:tcMar>
              <w:top w:w="65" w:type="dxa"/>
              <w:start w:w="120" w:type="dxa"/>
              <w:bottom w:w="65" w:type="dxa"/>
              <w:end w:w="120" w:type="dxa"/>
            </w:tcMar>
            <w:vAlign w:val="center"/>
            <w:tcBorders>
              <w:top w:val="nil"/>
              <w:left w:val="nil"/>
              <w:bottom w:val="nil"/>
              <w:right w:val="nil"/>
              <w:insideH w:val="nil"/>
              <w:insideV w:val="nil"/>
            </w:tcBorders>
            <w:shd w:fill="FFFFFF"/>
          </w:tcPr>
          <w:p>
            <w:pPr>
              <w:keepNext w:val="0"/>
              <w:widowControl/>
              <w:spacing w:before="0" w:after="0" w:lineRule="auto" w:line="252"/>
              <w:jc w:val="center"/>
            </w:pPr>
            <w:r>
              <w:rPr>
                <w:rFonts w:ascii="Calibri" w:hAnsi="Calibri" w:eastAsia="Calibri"/>
                <w:b/>
                <w:color w:val="0F766E"/>
                <w:sz w:val="24"/>
              </w:rPr>
            </w:r>
          </w:p>
        </w:tc>
        <w:tc>
          <w:tcPr>
            <w:tcW w:type="dxa" w:w="4800"/>
            <w:tcMar>
              <w:top w:w="65" w:type="dxa"/>
              <w:start w:w="120" w:type="dxa"/>
              <w:bottom w:w="65" w:type="dxa"/>
              <w:end w:w="120" w:type="dxa"/>
            </w:tcMar>
            <w:vAlign w:val="center"/>
            <w:tcBorders>
              <w:top w:val="nil"/>
              <w:left w:val="nil"/>
              <w:bottom w:val="nil"/>
              <w:right w:val="nil"/>
              <w:insideH w:val="nil"/>
              <w:insideV w:val="nil"/>
            </w:tcBorders>
            <w:shd w:fill="EEF3F3"/>
          </w:tcPr>
          <w:p>
            <w:pPr>
              <w:keepNext w:val="0"/>
              <w:widowControl/>
              <w:spacing w:before="0" w:after="0" w:lineRule="auto" w:line="252"/>
              <w:jc w:val="center"/>
            </w:pPr>
            <w:r>
              <w:rPr>
                <w:rFonts w:ascii="Calibri" w:hAnsi="Calibri" w:eastAsia="Calibri"/>
                <w:b/>
                <w:color w:val="152B3A"/>
                <w:sz w:val="19"/>
              </w:rPr>
              <w:t>Streamlit Community Cloud</w:t>
            </w:r>
          </w:p>
        </w:tc>
      </w:tr>
      <w:tr>
        <w:tc>
          <w:tcPr>
            <w:tcW w:type="dxa" w:w="1800"/>
            <w:tcMar>
              <w:top w:w="65" w:type="dxa"/>
              <w:start w:w="120" w:type="dxa"/>
              <w:bottom w:w="65" w:type="dxa"/>
              <w:end w:w="120" w:type="dxa"/>
            </w:tcMar>
            <w:vAlign w:val="center"/>
            <w:tcBorders>
              <w:top w:val="nil"/>
              <w:left w:val="nil"/>
              <w:bottom w:val="nil"/>
              <w:right w:val="nil"/>
              <w:insideH w:val="nil"/>
              <w:insideV w:val="nil"/>
            </w:tcBorders>
            <w:shd w:fill="EEF3F3"/>
          </w:tcPr>
          <w:p>
            <w:pPr>
              <w:keepNext w:val="0"/>
              <w:widowControl/>
              <w:spacing w:before="0" w:after="0" w:lineRule="auto" w:line="252"/>
              <w:jc w:val="center"/>
            </w:pPr>
            <w:r>
              <w:rPr>
                <w:rFonts w:ascii="Calibri" w:hAnsi="Calibri" w:eastAsia="Calibri"/>
                <w:b w:val="0"/>
                <w:color w:val="152B3A"/>
                <w:sz w:val="17"/>
              </w:rPr>
              <w:t>Kod + demo bundle</w:t>
            </w:r>
          </w:p>
        </w:tc>
        <w:tc>
          <w:tcPr>
            <w:tcW w:type="dxa" w:w="450"/>
            <w:tcMar>
              <w:top w:w="65" w:type="dxa"/>
              <w:start w:w="120" w:type="dxa"/>
              <w:bottom w:w="65" w:type="dxa"/>
              <w:end w:w="120" w:type="dxa"/>
            </w:tcMar>
            <w:vAlign w:val="center"/>
            <w:tcBorders>
              <w:top w:val="nil"/>
              <w:left w:val="nil"/>
              <w:bottom w:val="nil"/>
              <w:right w:val="nil"/>
              <w:insideH w:val="nil"/>
              <w:insideV w:val="nil"/>
            </w:tcBorders>
            <w:shd w:fill="FFFFFF"/>
          </w:tcPr>
          <w:p>
            <w:pPr>
              <w:keepNext w:val="0"/>
              <w:widowControl/>
              <w:spacing w:before="0" w:after="0" w:lineRule="auto" w:line="252"/>
              <w:jc w:val="center"/>
            </w:pPr>
            <w:r>
              <w:rPr>
                <w:rFonts w:ascii="Calibri" w:hAnsi="Calibri" w:eastAsia="Calibri"/>
                <w:b/>
                <w:color w:val="0F766E"/>
                <w:sz w:val="24"/>
              </w:rPr>
            </w:r>
          </w:p>
        </w:tc>
        <w:tc>
          <w:tcPr>
            <w:tcW w:type="dxa" w:w="1800"/>
            <w:tcMar>
              <w:top w:w="65" w:type="dxa"/>
              <w:start w:w="120" w:type="dxa"/>
              <w:bottom w:w="65" w:type="dxa"/>
              <w:end w:w="120" w:type="dxa"/>
            </w:tcMar>
            <w:vAlign w:val="center"/>
            <w:tcBorders>
              <w:top w:val="nil"/>
              <w:left w:val="nil"/>
              <w:bottom w:val="nil"/>
              <w:right w:val="nil"/>
              <w:insideH w:val="nil"/>
              <w:insideV w:val="nil"/>
            </w:tcBorders>
            <w:shd w:fill="EEF3F3"/>
          </w:tcPr>
          <w:p>
            <w:pPr>
              <w:keepNext w:val="0"/>
              <w:widowControl/>
              <w:spacing w:before="0" w:after="0" w:lineRule="auto" w:line="252"/>
              <w:jc w:val="center"/>
            </w:pPr>
            <w:r>
              <w:rPr>
                <w:rFonts w:ascii="Calibri" w:hAnsi="Calibri" w:eastAsia="Calibri"/>
                <w:b w:val="0"/>
                <w:color w:val="152B3A"/>
                <w:sz w:val="17"/>
              </w:rPr>
              <w:t>Lint · Test · Coverage</w:t>
            </w:r>
          </w:p>
        </w:tc>
        <w:tc>
          <w:tcPr>
            <w:tcW w:type="dxa" w:w="450"/>
            <w:tcMar>
              <w:top w:w="65" w:type="dxa"/>
              <w:start w:w="120" w:type="dxa"/>
              <w:bottom w:w="65" w:type="dxa"/>
              <w:end w:w="120" w:type="dxa"/>
            </w:tcMar>
            <w:vAlign w:val="center"/>
            <w:tcBorders>
              <w:top w:val="nil"/>
              <w:left w:val="nil"/>
              <w:bottom w:val="nil"/>
              <w:right w:val="nil"/>
              <w:insideH w:val="nil"/>
              <w:insideV w:val="nil"/>
            </w:tcBorders>
            <w:shd w:fill="FFFFFF"/>
          </w:tcPr>
          <w:p>
            <w:pPr>
              <w:keepNext w:val="0"/>
              <w:widowControl/>
              <w:spacing w:before="0" w:after="0" w:lineRule="auto" w:line="252"/>
              <w:jc w:val="center"/>
            </w:pPr>
            <w:r>
              <w:rPr>
                <w:rFonts w:ascii="Calibri" w:hAnsi="Calibri" w:eastAsia="Calibri"/>
                <w:b/>
                <w:color w:val="0F766E"/>
                <w:sz w:val="24"/>
              </w:rPr>
            </w:r>
          </w:p>
        </w:tc>
        <w:tc>
          <w:tcPr>
            <w:tcW w:type="dxa" w:w="4800"/>
            <w:tcMar>
              <w:top w:w="65" w:type="dxa"/>
              <w:start w:w="120" w:type="dxa"/>
              <w:bottom w:w="65" w:type="dxa"/>
              <w:end w:w="120" w:type="dxa"/>
            </w:tcMar>
            <w:vAlign w:val="center"/>
            <w:tcBorders>
              <w:top w:val="nil"/>
              <w:left w:val="nil"/>
              <w:bottom w:val="nil"/>
              <w:right w:val="nil"/>
              <w:insideH w:val="nil"/>
              <w:insideV w:val="nil"/>
            </w:tcBorders>
            <w:shd w:fill="EEF3F3"/>
          </w:tcPr>
          <w:p>
            <w:pPr>
              <w:keepNext w:val="0"/>
              <w:widowControl/>
              <w:spacing w:before="0" w:after="0" w:lineRule="auto" w:line="252"/>
              <w:jc w:val="center"/>
            </w:pPr>
            <w:r>
              <w:rPr>
                <w:rFonts w:ascii="Calibri" w:hAnsi="Calibri" w:eastAsia="Calibri"/>
                <w:b w:val="0"/>
                <w:color w:val="152B3A"/>
                <w:sz w:val="17"/>
              </w:rPr>
              <w:t>Artifact loader → Analist workspace</w:t>
            </w:r>
          </w:p>
        </w:tc>
      </w:tr>
    </w:tbl>
    <w:p/>
    <w:p>
      <w:pPr>
        <w:pStyle w:val="Heading2"/>
        <w:keepNext/>
        <w:widowControl/>
        <w:spacing w:before="160" w:after="80" w:lineRule="auto" w:line="240"/>
      </w:pPr>
      <w:r>
        <w:rPr>
          <w:rFonts w:ascii="Calibri" w:hAnsi="Calibri" w:eastAsia="Calibri"/>
          <w:b/>
          <w:color w:val="0F766E"/>
          <w:sz w:val="26"/>
        </w:rPr>
        <w:t>Mevcut durum</w:t>
      </w:r>
    </w:p>
    <w:tbl>
      <w:tblPr>
        <w:tblW w:type="dxa" w:w="9300"/>
        <w:jc w:val="left"/>
        <w:tblLayout w:type="fixed"/>
        <w:tblLook w:firstColumn="1" w:firstRow="1" w:lastColumn="0" w:lastRow="0" w:noHBand="0" w:noVBand="1" w:val="04A0"/>
        <w:tblInd w:w="120" w:type="dxa"/>
      </w:tblPr>
      <w:tblGrid>
        <w:gridCol w:w="1900"/>
        <w:gridCol w:w="1500"/>
        <w:gridCol w:w="5900"/>
      </w:tblGrid>
      <w:tr>
        <w:trPr>
          <w:tblHeader w:val="true"/>
          <w:cantSplit/>
        </w:trPr>
        <w:tc>
          <w:tcPr>
            <w:tcW w:type="dxa" w:w="19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Alan</w:t>
            </w:r>
          </w:p>
        </w:tc>
        <w:tc>
          <w:tcPr>
            <w:tcW w:type="dxa" w:w="15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Durum</w:t>
            </w:r>
          </w:p>
        </w:tc>
        <w:tc>
          <w:tcPr>
            <w:tcW w:type="dxa" w:w="59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Kanıt / sınır</w:t>
            </w:r>
          </w:p>
        </w:tc>
      </w:tr>
      <w:tr>
        <w:trPr>
          <w:cantSplit/>
        </w:trPr>
        <w:tc>
          <w:tcPr>
            <w:tcW w:type="dxa" w:w="1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Canlı erişim</w:t>
            </w:r>
          </w:p>
        </w:tc>
        <w:tc>
          <w:tcPr>
            <w:tcW w:type="dxa" w:w="1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Uygulandı</w:t>
            </w:r>
          </w:p>
        </w:tc>
        <w:tc>
          <w:tcPr>
            <w:tcW w:type="dxa" w:w="5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Streamlit Community Cloud üzerinden herkese açık ürün demosu</w:t>
            </w:r>
          </w:p>
        </w:tc>
      </w:tr>
      <w:tr>
        <w:trPr>
          <w:cantSplit/>
        </w:trPr>
        <w:tc>
          <w:tcPr>
            <w:tcW w:type="dxa" w:w="19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Release kapısı</w:t>
            </w:r>
          </w:p>
        </w:tc>
        <w:tc>
          <w:tcPr>
            <w:tcW w:type="dxa" w:w="15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Uygulandı</w:t>
            </w:r>
          </w:p>
        </w:tc>
        <w:tc>
          <w:tcPr>
            <w:tcW w:type="dxa" w:w="59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GitHub Actions: Ruff, Pytest, coverage ≥ %77 ve pip check</w:t>
            </w:r>
          </w:p>
        </w:tc>
      </w:tr>
      <w:tr>
        <w:trPr>
          <w:cantSplit/>
        </w:trPr>
        <w:tc>
          <w:tcPr>
            <w:tcW w:type="dxa" w:w="1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Model artifact'ı</w:t>
            </w:r>
          </w:p>
        </w:tc>
        <w:tc>
          <w:tcPr>
            <w:tcW w:type="dxa" w:w="1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Donduruldu</w:t>
            </w:r>
          </w:p>
        </w:tc>
        <w:tc>
          <w:tcPr>
            <w:tcW w:type="dxa" w:w="5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LightGBM joblib; GraphSAGE PyTorch checkpoint; SHA-256 sözleşmesi</w:t>
            </w:r>
          </w:p>
        </w:tc>
      </w:tr>
      <w:tr>
        <w:trPr>
          <w:cantSplit/>
        </w:trPr>
        <w:tc>
          <w:tcPr>
            <w:tcW w:type="dxa" w:w="19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Canlı skorlama</w:t>
            </w:r>
          </w:p>
        </w:tc>
        <w:tc>
          <w:tcPr>
            <w:tcW w:type="dxa" w:w="15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Kapsam dışı</w:t>
            </w:r>
          </w:p>
        </w:tc>
        <w:tc>
          <w:tcPr>
            <w:tcW w:type="dxa" w:w="59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Yayın, yalnız sentetik kayıtlı vakaları ve model kanıtını gösterir</w:t>
            </w:r>
          </w:p>
        </w:tc>
      </w:tr>
      <w:tr>
        <w:trPr>
          <w:cantSplit/>
        </w:trPr>
        <w:tc>
          <w:tcPr>
            <w:tcW w:type="dxa" w:w="1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Üretim kimliği</w:t>
            </w:r>
          </w:p>
        </w:tc>
        <w:tc>
          <w:tcPr>
            <w:tcW w:type="dxa" w:w="1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Kapsam dışı</w:t>
            </w:r>
          </w:p>
        </w:tc>
        <w:tc>
          <w:tcPr>
            <w:tcW w:type="dxa" w:w="5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Demo oturumu vardır; kurumsal IdP/RBAC bağlı değildir</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Belge kapsamı</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Altı zorunlu teslim başlığı, ekli ödev metnindeki sırayla yanıtlanmıştır.</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Uygulanmış kontroller ile üretimleşme için önerilen kontroller açık biçimde ayrılmıştır.</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Model performansı, deployment sağlığı ve sorumlu kullanım sınırları birlikte ele alınmıştır.</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Komutlar, ortam değişkenleri ve yayın bağlantıları eklerde tekrar üretilebilir biçimde verilmiştir.</w:t>
      </w:r>
    </w:p>
    <w:p>
      <w:pPr>
        <w:pStyle w:val="Heading1"/>
        <w:keepNext/>
        <w:pageBreakBefore/>
        <w:widowControl/>
        <w:spacing w:before="0" w:after="40" w:lineRule="auto" w:line="240"/>
      </w:pPr>
      <w:r>
        <w:rPr>
          <w:rFonts w:ascii="Calibri" w:hAnsi="Calibri" w:eastAsia="Calibri"/>
          <w:b/>
          <w:color w:val="071C2C"/>
          <w:sz w:val="32"/>
        </w:rPr>
        <w:t>1. Genel Bakış</w:t>
      </w:r>
    </w:p>
    <w:p>
      <w:pPr>
        <w:keepNext/>
        <w:widowControl/>
        <w:spacing w:before="0" w:after="200" w:lineRule="auto" w:line="240"/>
      </w:pPr>
      <w:r>
        <w:rPr>
          <w:rFonts w:ascii="Calibri" w:hAnsi="Calibri" w:eastAsia="Calibri"/>
          <w:b/>
          <w:color w:val="0F766E"/>
          <w:sz w:val="17"/>
        </w:rPr>
        <w:t>OVERVIEW</w:t>
      </w:r>
    </w:p>
    <w:p>
      <w:pPr>
        <w:keepNext w:val="0"/>
        <w:widowControl/>
        <w:spacing w:before="0" w:after="120" w:lineRule="auto" w:line="252"/>
      </w:pPr>
      <w:r>
        <w:rPr>
          <w:rFonts w:ascii="Calibri" w:hAnsi="Calibri" w:eastAsia="Calibri"/>
          <w:i w:val="0"/>
          <w:color w:val="152B3A"/>
          <w:sz w:val="19"/>
        </w:rPr>
        <w:t>Dağıtım aşamasının amacı, ARGUS’un araştırma çıktısını yeniden eğitim gerektirmeyen, erişilebilir ve açıklanabilir bir analist deneyimine dönüştürmektir. Çözüm, gerçek zamanlı bir yaptırım motoru değil; kaydedilmiş işlem, ağ ve model kanıtını güvenli sınırlar içinde incelemeye açan bir karar destek uygulamasıdır.</w:t>
      </w:r>
    </w:p>
    <w:p>
      <w:pPr>
        <w:pStyle w:val="Heading2"/>
        <w:keepNext/>
        <w:widowControl/>
        <w:spacing w:before="160" w:after="80" w:lineRule="auto" w:line="240"/>
      </w:pPr>
      <w:r>
        <w:rPr>
          <w:rFonts w:ascii="Calibri" w:hAnsi="Calibri" w:eastAsia="Calibri"/>
          <w:b/>
          <w:color w:val="0F766E"/>
          <w:sz w:val="26"/>
        </w:rPr>
        <w:t>Dağıtım kapsamı ve hedef kullanıcı</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b/>
          <w:color w:val="152B3A"/>
          <w:sz w:val="19"/>
        </w:rPr>
        <w:t>Hedef kullanıcı:</w:t>
      </w:r>
      <w:r>
        <w:rPr>
          <w:rFonts w:ascii="Calibri" w:hAnsi="Calibri" w:eastAsia="Calibri"/>
          <w:color w:val="152B3A"/>
          <w:sz w:val="19"/>
        </w:rPr>
        <w:t xml:space="preserve"> finansal suç/AML incelemesi yapan eğitimli analist.</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b/>
          <w:color w:val="152B3A"/>
          <w:sz w:val="19"/>
        </w:rPr>
        <w:t>Birincil görev:</w:t>
      </w:r>
      <w:r>
        <w:rPr>
          <w:rFonts w:ascii="Calibri" w:hAnsi="Calibri" w:eastAsia="Calibri"/>
          <w:color w:val="152B3A"/>
          <w:sz w:val="19"/>
        </w:rPr>
        <w:t xml:space="preserve"> öncelikli vakayı bulmak, gözlenen kayıtları incelemek, ağ bağlamını anlamak ve insan kararını kaydetmek.</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b/>
          <w:color w:val="152B3A"/>
          <w:sz w:val="19"/>
        </w:rPr>
        <w:t>Karar sınırı:</w:t>
      </w:r>
      <w:r>
        <w:rPr>
          <w:rFonts w:ascii="Calibri" w:hAnsi="Calibri" w:eastAsia="Calibri"/>
          <w:color w:val="152B3A"/>
          <w:sz w:val="19"/>
        </w:rPr>
        <w:t xml:space="preserve"> model skoru suç kanıtı değildir; otomatik bloke, dondurma veya bildirim yetkisi vermez.</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b/>
          <w:color w:val="152B3A"/>
          <w:sz w:val="19"/>
        </w:rPr>
        <w:t>Yayın verisi:</w:t>
      </w:r>
      <w:r>
        <w:rPr>
          <w:rFonts w:ascii="Calibri" w:hAnsi="Calibri" w:eastAsia="Calibri"/>
          <w:color w:val="152B3A"/>
          <w:sz w:val="19"/>
        </w:rPr>
        <w:t xml:space="preserve"> yalnızca üç sentetik walkthrough vakası; IBM HI-Small ham kayıtları ve yerel bilimsel artifact'lar deploy edilmez.</w:t>
      </w:r>
    </w:p>
    <w:p>
      <w:pPr>
        <w:pStyle w:val="Heading2"/>
        <w:keepNext/>
        <w:widowControl/>
        <w:spacing w:before="160" w:after="80" w:lineRule="auto" w:line="240"/>
      </w:pPr>
      <w:r>
        <w:rPr>
          <w:rFonts w:ascii="Calibri" w:hAnsi="Calibri" w:eastAsia="Calibri"/>
          <w:b/>
          <w:color w:val="0F766E"/>
          <w:sz w:val="26"/>
        </w:rPr>
        <w:t>Gerçekleştirilen dağıtım adımları</w:t>
      </w:r>
    </w:p>
    <w:tbl>
      <w:tblPr>
        <w:tblW w:type="dxa" w:w="9300"/>
        <w:jc w:val="left"/>
        <w:tblLayout w:type="fixed"/>
        <w:tblLook w:firstColumn="1" w:firstRow="1" w:lastColumn="0" w:lastRow="0" w:noHBand="0" w:noVBand="1" w:val="04A0"/>
        <w:tblInd w:w="120" w:type="dxa"/>
      </w:tblPr>
      <w:tblGrid>
        <w:gridCol w:w="850"/>
        <w:gridCol w:w="1750"/>
        <w:gridCol w:w="6700"/>
      </w:tblGrid>
      <w:tr>
        <w:trPr>
          <w:tblHeader w:val="true"/>
          <w:cantSplit/>
        </w:trPr>
        <w:tc>
          <w:tcPr>
            <w:tcW w:type="dxa" w:w="85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Adım</w:t>
            </w:r>
          </w:p>
        </w:tc>
        <w:tc>
          <w:tcPr>
            <w:tcW w:type="dxa" w:w="175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Aşama</w:t>
            </w:r>
          </w:p>
        </w:tc>
        <w:tc>
          <w:tcPr>
            <w:tcW w:type="dxa" w:w="67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Uygulama</w:t>
            </w:r>
          </w:p>
        </w:tc>
      </w:tr>
      <w:tr>
        <w:trPr>
          <w:cantSplit/>
        </w:trPr>
        <w:tc>
          <w:tcPr>
            <w:tcW w:type="dxa" w:w="8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01</w:t>
            </w:r>
          </w:p>
        </w:tc>
        <w:tc>
          <w:tcPr>
            <w:tcW w:type="dxa" w:w="17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Paketleme</w:t>
            </w:r>
          </w:p>
        </w:tc>
        <w:tc>
          <w:tcPr>
            <w:tcW w:type="dxa" w:w="67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Kök `app.py`, `requirements.txt`, `.streamlit/config.toml` ve demo bundle aynı repoda tutuldu.</w:t>
            </w:r>
          </w:p>
        </w:tc>
      </w:tr>
      <w:tr>
        <w:trPr>
          <w:cantSplit/>
        </w:trPr>
        <w:tc>
          <w:tcPr>
            <w:tcW w:type="dxa" w:w="8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02</w:t>
            </w:r>
          </w:p>
        </w:tc>
        <w:tc>
          <w:tcPr>
            <w:tcW w:type="dxa" w:w="17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Bağımlılık</w:t>
            </w:r>
          </w:p>
        </w:tc>
        <w:tc>
          <w:tcPr>
            <w:tcW w:type="dxa" w:w="67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Python 3.12 ve `-e .[app]` kurulumu Streamlit Cloud için tanımlandı.</w:t>
            </w:r>
          </w:p>
        </w:tc>
      </w:tr>
      <w:tr>
        <w:trPr>
          <w:cantSplit/>
        </w:trPr>
        <w:tc>
          <w:tcPr>
            <w:tcW w:type="dxa" w:w="8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03</w:t>
            </w:r>
          </w:p>
        </w:tc>
        <w:tc>
          <w:tcPr>
            <w:tcW w:type="dxa" w:w="17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Kalite</w:t>
            </w:r>
          </w:p>
        </w:tc>
        <w:tc>
          <w:tcPr>
            <w:tcW w:type="dxa" w:w="67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Push ve pull request'lerde lint, format, test, coverage ve dependency doğrulaması çalıştırıldı.</w:t>
            </w:r>
          </w:p>
        </w:tc>
      </w:tr>
      <w:tr>
        <w:trPr>
          <w:cantSplit/>
        </w:trPr>
        <w:tc>
          <w:tcPr>
            <w:tcW w:type="dxa" w:w="8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04</w:t>
            </w:r>
          </w:p>
        </w:tc>
        <w:tc>
          <w:tcPr>
            <w:tcW w:type="dxa" w:w="17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Yayın</w:t>
            </w:r>
          </w:p>
        </w:tc>
        <w:tc>
          <w:tcPr>
            <w:tcW w:type="dxa" w:w="67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Yetki gereksinimi nedeniyle senkron fork Streamlit Community Cloud'a bağlandı.</w:t>
            </w:r>
          </w:p>
        </w:tc>
      </w:tr>
      <w:tr>
        <w:trPr>
          <w:cantSplit/>
        </w:trPr>
        <w:tc>
          <w:tcPr>
            <w:tcW w:type="dxa" w:w="8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05</w:t>
            </w:r>
          </w:p>
        </w:tc>
        <w:tc>
          <w:tcPr>
            <w:tcW w:type="dxa" w:w="17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Doğrulama</w:t>
            </w:r>
          </w:p>
        </w:tc>
        <w:tc>
          <w:tcPr>
            <w:tcW w:type="dxa" w:w="67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Canlı rota, login, iş listesi, vaka inceleme ve model kanıtı akışı kontrol edildi.</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Platform seçimi</w:t>
      </w:r>
    </w:p>
    <w:p>
      <w:pPr>
        <w:keepNext w:val="0"/>
        <w:widowControl/>
        <w:spacing w:before="0" w:after="120" w:lineRule="auto" w:line="252"/>
      </w:pPr>
      <w:r>
        <w:rPr>
          <w:rFonts w:ascii="Calibri" w:hAnsi="Calibri" w:eastAsia="Calibri"/>
          <w:i w:val="0"/>
          <w:color w:val="152B3A"/>
          <w:sz w:val="19"/>
        </w:rPr>
        <w:t>Streamlit Community Cloud; Python tabanlı uygulamanın ek bir web sunucusu, container registry veya ayrı ön yüz derlemesi olmadan yayınlanmasına olanak verdiği için seçilmiştir. Capstone kapsamındaki demo için bu seçim düşük operasyon yükü, hızlı tekrarlanabilirlik ve Git tabanlı teslim avantajı sağlar.</w:t>
      </w:r>
    </w:p>
    <w:tbl>
      <w:tblPr>
        <w:tblW w:type="dxa" w:w="9300"/>
        <w:jc w:val="left"/>
        <w:tblLayout w:type="fixed"/>
        <w:tblLook w:firstColumn="1" w:firstRow="1" w:lastColumn="0" w:lastRow="0" w:noHBand="0" w:noVBand="1" w:val="04A0"/>
        <w:tblInd w:w="120" w:type="dxa"/>
      </w:tblPr>
      <w:tblGrid>
        <w:gridCol w:w="2800"/>
        <w:gridCol w:w="6500"/>
      </w:tblGrid>
      <w:tr>
        <w:trPr>
          <w:tblHeader w:val="true"/>
          <w:cantSplit/>
        </w:trPr>
        <w:tc>
          <w:tcPr>
            <w:tcW w:type="dxa" w:w="28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Seçenek</w:t>
            </w:r>
          </w:p>
        </w:tc>
        <w:tc>
          <w:tcPr>
            <w:tcW w:type="dxa" w:w="65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Bu proje için değerlendirme</w:t>
            </w:r>
          </w:p>
        </w:tc>
      </w:tr>
      <w:tr>
        <w:trPr>
          <w:cantSplit/>
        </w:trPr>
        <w:tc>
          <w:tcPr>
            <w:tcW w:type="dxa" w:w="28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Streamlit Community Cloud</w:t>
            </w:r>
          </w:p>
        </w:tc>
        <w:tc>
          <w:tcPr>
            <w:tcW w:type="dxa" w:w="6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Mevcut seçim. Eğitim amaçlı canlı demo, Git tabanlı deploy ve yönetilen HTTPS.</w:t>
            </w:r>
          </w:p>
        </w:tc>
      </w:tr>
      <w:tr>
        <w:trPr>
          <w:cantSplit/>
        </w:trPr>
        <w:tc>
          <w:tcPr>
            <w:tcW w:type="dxa" w:w="28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On-premises / kurum içi</w:t>
            </w:r>
          </w:p>
        </w:tc>
        <w:tc>
          <w:tcPr>
            <w:tcW w:type="dxa" w:w="65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Hassas banka verisi ve kurumsal kimlik entegrasyonu için gelecekte daha uygun; daha yüksek operasyon maliyeti.</w:t>
            </w:r>
          </w:p>
        </w:tc>
      </w:tr>
      <w:tr>
        <w:trPr>
          <w:cantSplit/>
        </w:trPr>
        <w:tc>
          <w:tcPr>
            <w:tcW w:type="dxa" w:w="28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Kubernetes + API + ayrı UI</w:t>
            </w:r>
          </w:p>
        </w:tc>
        <w:tc>
          <w:tcPr>
            <w:tcW w:type="dxa" w:w="6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Yüksek ölçek ve online scoring için uygun; capstone kapsamı için gereksiz karmaşıklık.</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Release akışı</w:t>
      </w:r>
    </w:p>
    <w:tbl>
      <w:tblPr>
        <w:tblW w:type="dxa" w:w="9300"/>
        <w:jc w:val="left"/>
        <w:tblLayout w:type="fixed"/>
        <w:tblLook w:firstColumn="1" w:firstRow="1" w:lastColumn="0" w:lastRow="0" w:noHBand="0" w:noVBand="1" w:val="04A0"/>
        <w:tblInd w:w="120" w:type="dxa"/>
      </w:tblPr>
      <w:tblGrid>
        <w:gridCol w:w="9300"/>
      </w:tblGrid>
      <w:tr>
        <w:tc>
          <w:tcPr>
            <w:tcW w:type="dxa" w:w="9300"/>
            <w:tcMar>
              <w:top w:w="140" w:type="dxa"/>
              <w:start w:w="120" w:type="dxa"/>
              <w:bottom w:w="140" w:type="dxa"/>
              <w:end w:w="180" w:type="dxa"/>
            </w:tcMar>
            <w:vAlign w:val="center"/>
            <w:shd w:fill="F3F6F7"/>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40"/>
            </w:pPr>
            <w:r>
              <w:rPr>
                <w:rFonts w:ascii="Consolas" w:hAnsi="Consolas" w:eastAsia="Consolas"/>
                <w:color w:val="071C2C"/>
                <w:sz w:val="17"/>
              </w:rPr>
              <w:t>git push main</w:t>
            </w:r>
            <w:r>
              <w:br/>
            </w:r>
            <w:r>
              <w:rPr>
                <w:rFonts w:ascii="Consolas" w:hAnsi="Consolas" w:eastAsia="Consolas"/>
                <w:color w:val="071C2C"/>
                <w:sz w:val="17"/>
              </w:rPr>
              <w:t xml:space="preserve">  └─ GitHub Actions: ruff → pytest/coverage → pip check</w:t>
            </w:r>
            <w:r>
              <w:br/>
            </w:r>
            <w:r>
              <w:rPr>
                <w:rFonts w:ascii="Consolas" w:hAnsi="Consolas" w:eastAsia="Consolas"/>
                <w:color w:val="071C2C"/>
                <w:sz w:val="17"/>
              </w:rPr>
              <w:t xml:space="preserve">       └─ başarılı commit → senkron yayın fork'u</w:t>
            </w:r>
            <w:r>
              <w:br/>
            </w:r>
            <w:r>
              <w:rPr>
                <w:rFonts w:ascii="Consolas" w:hAnsi="Consolas" w:eastAsia="Consolas"/>
                <w:color w:val="071C2C"/>
                <w:sz w:val="17"/>
              </w:rPr>
              <w:t xml:space="preserve">            └─ Streamlit Cloud otomatik rebuild ve deploy</w:t>
            </w:r>
          </w:p>
        </w:tc>
      </w:tr>
    </w:tbl>
    <w:p>
      <w:pPr>
        <w:keepNext w:val="0"/>
        <w:widowControl/>
        <w:spacing w:before="0" w:after="40" w:lineRule="auto" w:line="240"/>
      </w:pPr>
    </w:p>
    <w:tbl>
      <w:tblPr>
        <w:tblW w:type="dxa" w:w="9300"/>
        <w:jc w:val="left"/>
        <w:tblLayout w:type="fixed"/>
        <w:tblLook w:firstColumn="1" w:firstRow="1" w:lastColumn="0" w:lastRow="0" w:noHBand="0" w:noVBand="1" w:val="04A0"/>
        <w:tblInd w:w="120" w:type="dxa"/>
      </w:tblPr>
      <w:tblGrid>
        <w:gridCol w:w="150"/>
        <w:gridCol w:w="9150"/>
      </w:tblGrid>
      <w:tr>
        <w:tc>
          <w:tcPr>
            <w:tcW w:type="dxa" w:w="150"/>
            <w:tcMar>
              <w:top w:w="65" w:type="dxa"/>
              <w:start w:w="120" w:type="dxa"/>
              <w:bottom w:w="65" w:type="dxa"/>
              <w:end w:w="120" w:type="dxa"/>
            </w:tcMar>
            <w:vAlign w:val="center"/>
            <w:shd w:fill="071C2C"/>
            <w:tcBorders>
              <w:top w:val="nil"/>
              <w:left w:val="nil"/>
              <w:bottom w:val="nil"/>
              <w:right w:val="nil"/>
              <w:insideH w:val="nil"/>
              <w:insideV w:val="nil"/>
            </w:tcBorders>
          </w:tcPr>
          <w:p/>
        </w:tc>
        <w:tc>
          <w:tcPr>
            <w:tcW w:type="dxa" w:w="9150"/>
            <w:tcMar>
              <w:top w:w="150" w:type="dxa"/>
              <w:start w:w="120" w:type="dxa"/>
              <w:bottom w:w="150" w:type="dxa"/>
              <w:end w:w="180" w:type="dxa"/>
            </w:tcMar>
            <w:vAlign w:val="center"/>
            <w:shd w:fill="E7F0F7"/>
            <w:tcBorders>
              <w:top w:val="nil"/>
              <w:left w:val="nil"/>
              <w:bottom w:val="nil"/>
              <w:right w:val="nil"/>
              <w:insideH w:val="nil"/>
              <w:insideV w:val="nil"/>
            </w:tcBorders>
          </w:tcPr>
          <w:p>
            <w:pPr>
              <w:keepNext w:val="0"/>
              <w:widowControl/>
              <w:spacing w:before="0" w:after="0" w:lineRule="auto" w:line="264"/>
            </w:pPr>
            <w:r>
              <w:rPr>
                <w:rFonts w:ascii="Calibri" w:hAnsi="Calibri" w:eastAsia="Calibri"/>
                <w:b/>
                <w:color w:val="071C2C"/>
                <w:sz w:val="18"/>
              </w:rPr>
              <w:t xml:space="preserve">REPOSITORY YAPISI  </w:t>
            </w:r>
            <w:r>
              <w:rPr>
                <w:rFonts w:ascii="Calibri" w:hAnsi="Calibri" w:eastAsia="Calibri"/>
                <w:color w:val="152B3A"/>
                <w:sz w:val="20"/>
              </w:rPr>
              <w:t>Ana kaynak depo `edasaruhan/SIC_AI_17_Capstone_Group_3`, canlı yayını besleyen repo ise `aaayseee/SIC_AI_17_Capstone_Group_3` adresidir. İki main dalı aynı committe tutulur.</w:t>
            </w:r>
          </w:p>
        </w:tc>
      </w:tr>
    </w:tbl>
    <w:p>
      <w:pPr>
        <w:keepNext w:val="0"/>
        <w:widowControl/>
        <w:spacing w:before="0" w:after="40" w:lineRule="auto" w:line="240"/>
      </w:pPr>
    </w:p>
    <w:p>
      <w:pPr>
        <w:pStyle w:val="Heading1"/>
        <w:keepNext/>
        <w:pageBreakBefore/>
        <w:widowControl/>
        <w:spacing w:before="0" w:after="40" w:lineRule="auto" w:line="240"/>
      </w:pPr>
      <w:r>
        <w:rPr>
          <w:rFonts w:ascii="Calibri" w:hAnsi="Calibri" w:eastAsia="Calibri"/>
          <w:b/>
          <w:color w:val="071C2C"/>
          <w:sz w:val="32"/>
        </w:rPr>
        <w:t>2. Modelin Serileştirilmesi</w:t>
      </w:r>
    </w:p>
    <w:p>
      <w:pPr>
        <w:keepNext/>
        <w:widowControl/>
        <w:spacing w:before="0" w:after="200" w:lineRule="auto" w:line="240"/>
      </w:pPr>
      <w:r>
        <w:rPr>
          <w:rFonts w:ascii="Calibri" w:hAnsi="Calibri" w:eastAsia="Calibri"/>
          <w:b/>
          <w:color w:val="0F766E"/>
          <w:sz w:val="17"/>
        </w:rPr>
        <w:t>MODEL SERIALIZATION</w:t>
      </w:r>
    </w:p>
    <w:p>
      <w:pPr>
        <w:keepNext w:val="0"/>
        <w:widowControl/>
        <w:spacing w:before="0" w:after="120" w:lineRule="auto" w:line="252"/>
      </w:pPr>
      <w:r>
        <w:rPr>
          <w:rFonts w:ascii="Calibri" w:hAnsi="Calibri" w:eastAsia="Calibri"/>
          <w:i w:val="0"/>
          <w:color w:val="152B3A"/>
          <w:sz w:val="19"/>
        </w:rPr>
        <w:t>ARGUS tek bir dosyayı model olarak görmek yerine, tahminin yeniden üretilebilmesi için model, ön işleme durumu, özellik sözleşmesi, eşik ve manifesti birlikte dondurur. Bu yaklaşım, yalnız estimator dosyasını taşımaktan daha güçlü bir deployment sözleşmesi sağlar.</w:t>
      </w:r>
    </w:p>
    <w:p>
      <w:pPr>
        <w:pStyle w:val="Heading2"/>
        <w:keepNext/>
        <w:widowControl/>
        <w:spacing w:before="160" w:after="80" w:lineRule="auto" w:line="240"/>
      </w:pPr>
      <w:r>
        <w:rPr>
          <w:rFonts w:ascii="Calibri" w:hAnsi="Calibri" w:eastAsia="Calibri"/>
          <w:b/>
          <w:color w:val="0F766E"/>
          <w:sz w:val="26"/>
        </w:rPr>
        <w:t>Serileştirme formatları</w:t>
      </w:r>
    </w:p>
    <w:tbl>
      <w:tblPr>
        <w:tblW w:type="dxa" w:w="9300"/>
        <w:jc w:val="left"/>
        <w:tblLayout w:type="fixed"/>
        <w:tblLook w:firstColumn="1" w:firstRow="1" w:lastColumn="0" w:lastRow="0" w:noHBand="0" w:noVBand="1" w:val="04A0"/>
        <w:tblInd w:w="120" w:type="dxa"/>
      </w:tblPr>
      <w:tblGrid>
        <w:gridCol w:w="2600"/>
        <w:gridCol w:w="1900"/>
        <w:gridCol w:w="4800"/>
      </w:tblGrid>
      <w:tr>
        <w:trPr>
          <w:tblHeader w:val="true"/>
          <w:cantSplit/>
        </w:trPr>
        <w:tc>
          <w:tcPr>
            <w:tcW w:type="dxa" w:w="26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Bileşen</w:t>
            </w:r>
          </w:p>
        </w:tc>
        <w:tc>
          <w:tcPr>
            <w:tcW w:type="dxa" w:w="19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Format</w:t>
            </w:r>
          </w:p>
        </w:tc>
        <w:tc>
          <w:tcPr>
            <w:tcW w:type="dxa" w:w="48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Amaç</w:t>
            </w:r>
          </w:p>
        </w:tc>
      </w:tr>
      <w:tr>
        <w:trPr>
          <w:cantSplit/>
        </w:trPr>
        <w:tc>
          <w:tcPr>
            <w:tcW w:type="dxa" w:w="26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Graph-enhanced LightGBM</w:t>
            </w:r>
          </w:p>
        </w:tc>
        <w:tc>
          <w:tcPr>
            <w:tcW w:type="dxa" w:w="1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`model.joblib`</w:t>
            </w:r>
          </w:p>
        </w:tc>
        <w:tc>
          <w:tcPr>
            <w:tcW w:type="dxa" w:w="48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Birincil ağaç modeli; sıkıştırılmış joblib artifact'ı</w:t>
            </w:r>
          </w:p>
        </w:tc>
      </w:tr>
      <w:tr>
        <w:trPr>
          <w:cantSplit/>
        </w:trPr>
        <w:tc>
          <w:tcPr>
            <w:tcW w:type="dxa" w:w="26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Refined transaction LightGBM</w:t>
            </w:r>
          </w:p>
        </w:tc>
        <w:tc>
          <w:tcPr>
            <w:tcW w:type="dxa" w:w="19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`model.joblib`</w:t>
            </w:r>
          </w:p>
        </w:tc>
        <w:tc>
          <w:tcPr>
            <w:tcW w:type="dxa" w:w="48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Aynı protokolde karşılaştırma modeli</w:t>
            </w:r>
          </w:p>
        </w:tc>
      </w:tr>
      <w:tr>
        <w:trPr>
          <w:cantSplit/>
        </w:trPr>
        <w:tc>
          <w:tcPr>
            <w:tcW w:type="dxa" w:w="26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GraphSAGE</w:t>
            </w:r>
          </w:p>
        </w:tc>
        <w:tc>
          <w:tcPr>
            <w:tcW w:type="dxa" w:w="1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`graphsage.pt`</w:t>
            </w:r>
          </w:p>
        </w:tc>
        <w:tc>
          <w:tcPr>
            <w:tcW w:type="dxa" w:w="48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CPU ağırlıkları ve model konfigürasyonu içeren PyTorch checkpoint</w:t>
            </w:r>
          </w:p>
        </w:tc>
      </w:tr>
      <w:tr>
        <w:trPr>
          <w:cantSplit/>
        </w:trPr>
        <w:tc>
          <w:tcPr>
            <w:tcW w:type="dxa" w:w="26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Ön işleme durumu</w:t>
            </w:r>
          </w:p>
        </w:tc>
        <w:tc>
          <w:tcPr>
            <w:tcW w:type="dxa" w:w="19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`fitted_state.json`</w:t>
            </w:r>
          </w:p>
        </w:tc>
        <w:tc>
          <w:tcPr>
            <w:tcW w:type="dxa" w:w="48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Train-fit medyanlar, ölçekler, kategoriler ve özellik sırası</w:t>
            </w:r>
          </w:p>
        </w:tc>
      </w:tr>
      <w:tr>
        <w:trPr>
          <w:cantSplit/>
        </w:trPr>
        <w:tc>
          <w:tcPr>
            <w:tcW w:type="dxa" w:w="26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Eşik ve manifest</w:t>
            </w:r>
          </w:p>
        </w:tc>
        <w:tc>
          <w:tcPr>
            <w:tcW w:type="dxa" w:w="1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JSON</w:t>
            </w:r>
          </w:p>
        </w:tc>
        <w:tc>
          <w:tcPr>
            <w:tcW w:type="dxa" w:w="48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Validation'da seçilen eşik, kapsam, hash ve provenance</w:t>
            </w:r>
          </w:p>
        </w:tc>
      </w:tr>
      <w:tr>
        <w:trPr>
          <w:cantSplit/>
        </w:trPr>
        <w:tc>
          <w:tcPr>
            <w:tcW w:type="dxa" w:w="26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Ürün paketi</w:t>
            </w:r>
          </w:p>
        </w:tc>
        <w:tc>
          <w:tcPr>
            <w:tcW w:type="dxa" w:w="19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`dashboard_bundle.json`</w:t>
            </w:r>
          </w:p>
        </w:tc>
        <w:tc>
          <w:tcPr>
            <w:tcW w:type="dxa" w:w="48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Vaka, ağ, açıklama ve karşılaştırma verisini UI'ye taşır</w:t>
            </w:r>
          </w:p>
        </w:tc>
      </w:tr>
      <w:tr>
        <w:trPr>
          <w:cantSplit/>
        </w:trPr>
        <w:tc>
          <w:tcPr>
            <w:tcW w:type="dxa" w:w="26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Tahmin/özellik tablosu</w:t>
            </w:r>
          </w:p>
        </w:tc>
        <w:tc>
          <w:tcPr>
            <w:tcW w:type="dxa" w:w="1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Parquet</w:t>
            </w:r>
          </w:p>
        </w:tc>
        <w:tc>
          <w:tcPr>
            <w:tcW w:type="dxa" w:w="48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Büyük kolonlu veriler için tip koruyan sıkıştırılmış depolama</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Bütünlük ve yükleme politikası</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Her dondurulmuş model ve ön işleme dosyasının beklenen SHA-256 değeri final değerlendirme yapılandırmasında kayıtlıdır.</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Final pipeline yalnız hash doğrulaması geçen, test erişiminden önce üretilmiş artifact'ları deserialize eder.</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LightGBM nesnesinin doğru sınıfta, fit edilmiş ve preprocessor ile aynı özellik genişliğinde olduğu kontrol edilir.</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GraphSAGE checkpoint CPU üzerinde yüklenir; model konfigürasyonu ile işlem özellik boyutu doğrulanır.</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Joblib/Pickle tabanlı dosyalar güvenilmeyen kaynaktan asla yüklenmez; hash doğrulaması bu nedenle güvenlik kontrolüdür.</w:t>
      </w:r>
    </w:p>
    <w:p>
      <w:pPr>
        <w:pStyle w:val="Heading2"/>
        <w:keepNext/>
        <w:widowControl/>
        <w:spacing w:before="160" w:after="80" w:lineRule="auto" w:line="240"/>
      </w:pPr>
      <w:r>
        <w:rPr>
          <w:rFonts w:ascii="Calibri" w:hAnsi="Calibri" w:eastAsia="Calibri"/>
          <w:b/>
          <w:color w:val="0F766E"/>
          <w:sz w:val="26"/>
        </w:rPr>
        <w:t>Depolama verimliliği</w:t>
      </w:r>
    </w:p>
    <w:p>
      <w:pPr>
        <w:keepNext w:val="0"/>
        <w:widowControl/>
        <w:spacing w:before="0" w:after="120" w:lineRule="auto" w:line="252"/>
      </w:pPr>
      <w:r>
        <w:rPr>
          <w:rFonts w:ascii="Calibri" w:hAnsi="Calibri" w:eastAsia="Calibri"/>
          <w:i w:val="0"/>
          <w:color w:val="152B3A"/>
          <w:sz w:val="19"/>
        </w:rPr>
        <w:t>Büyük ham veri ve model artifact'ları Git dışında tutulur. Git deposunda yalnız kaynak kod, konfigürasyon, özet bilimsel raporlar ve küçük sentetik ürün demosu izlenir. Tabular çıktılar Parquet ile kolon bazlı ve sıkıştırılmış; model dosyaları joblib/PyTorch; insan tarafından okunabilir sözleşmeler ise JSON ile saklanır.</w:t>
      </w:r>
    </w:p>
    <w:tbl>
      <w:tblPr>
        <w:tblW w:type="dxa" w:w="9300"/>
        <w:jc w:val="left"/>
        <w:tblLayout w:type="fixed"/>
        <w:tblLook w:firstColumn="1" w:firstRow="1" w:lastColumn="0" w:lastRow="0" w:noHBand="0" w:noVBand="1" w:val="04A0"/>
        <w:tblInd w:w="120" w:type="dxa"/>
      </w:tblPr>
      <w:tblGrid>
        <w:gridCol w:w="150"/>
        <w:gridCol w:w="9150"/>
      </w:tblGrid>
      <w:tr>
        <w:tc>
          <w:tcPr>
            <w:tcW w:type="dxa" w:w="150"/>
            <w:tcMar>
              <w:top w:w="65" w:type="dxa"/>
              <w:start w:w="120" w:type="dxa"/>
              <w:bottom w:w="65" w:type="dxa"/>
              <w:end w:w="120" w:type="dxa"/>
            </w:tcMar>
            <w:vAlign w:val="center"/>
            <w:shd w:fill="0F766E"/>
            <w:tcBorders>
              <w:top w:val="nil"/>
              <w:left w:val="nil"/>
              <w:bottom w:val="nil"/>
              <w:right w:val="nil"/>
              <w:insideH w:val="nil"/>
              <w:insideV w:val="nil"/>
            </w:tcBorders>
          </w:tcPr>
          <w:p/>
        </w:tc>
        <w:tc>
          <w:tcPr>
            <w:tcW w:type="dxa" w:w="9150"/>
            <w:tcMar>
              <w:top w:w="150" w:type="dxa"/>
              <w:start w:w="120" w:type="dxa"/>
              <w:bottom w:w="150" w:type="dxa"/>
              <w:end w:w="180" w:type="dxa"/>
            </w:tcMar>
            <w:vAlign w:val="center"/>
            <w:shd w:fill="EEF3F3"/>
            <w:tcBorders>
              <w:top w:val="nil"/>
              <w:left w:val="nil"/>
              <w:bottom w:val="nil"/>
              <w:right w:val="nil"/>
              <w:insideH w:val="nil"/>
              <w:insideV w:val="nil"/>
            </w:tcBorders>
          </w:tcPr>
          <w:p>
            <w:pPr>
              <w:keepNext w:val="0"/>
              <w:widowControl/>
              <w:spacing w:before="0" w:after="0" w:lineRule="auto" w:line="264"/>
            </w:pPr>
            <w:r>
              <w:rPr>
                <w:rFonts w:ascii="Calibri" w:hAnsi="Calibri" w:eastAsia="Calibri"/>
                <w:b/>
                <w:color w:val="0F766E"/>
                <w:sz w:val="18"/>
              </w:rPr>
              <w:t xml:space="preserve">ARTIFACT ÖNCELIĞI  </w:t>
            </w:r>
            <w:r>
              <w:rPr>
                <w:rFonts w:ascii="Calibri" w:hAnsi="Calibri" w:eastAsia="Calibri"/>
                <w:color w:val="152B3A"/>
                <w:sz w:val="20"/>
              </w:rPr>
              <w:t>`ARGUS_ARTIFACT_DIR` verilirse doğrulanmış yerel paket kullanılır. Aksi halde uygulama önce Sprint 5, sonra Sprint 4 artifact'larını arar; hiçbiri yoksa izlenen sentetik demo bundle'a düşer.</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Dondurulmuş birincil model sözleşmesi</w:t>
      </w:r>
    </w:p>
    <w:tbl>
      <w:tblPr>
        <w:tblW w:type="dxa" w:w="9300"/>
        <w:jc w:val="left"/>
        <w:tblLayout w:type="fixed"/>
        <w:tblLook w:firstColumn="1" w:firstRow="1" w:lastColumn="0" w:lastRow="0" w:noHBand="0" w:noVBand="1" w:val="04A0"/>
        <w:tblInd w:w="120" w:type="dxa"/>
      </w:tblPr>
      <w:tblGrid>
        <w:gridCol w:w="3000"/>
        <w:gridCol w:w="6300"/>
      </w:tblGrid>
      <w:tr>
        <w:trPr>
          <w:tblHeader w:val="true"/>
          <w:cantSplit/>
        </w:trPr>
        <w:tc>
          <w:tcPr>
            <w:tcW w:type="dxa" w:w="30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Alan</w:t>
            </w:r>
          </w:p>
        </w:tc>
        <w:tc>
          <w:tcPr>
            <w:tcW w:type="dxa" w:w="63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Değer</w:t>
            </w:r>
          </w:p>
        </w:tc>
      </w:tr>
      <w:tr>
        <w:trPr>
          <w:cantSplit/>
        </w:trPr>
        <w:tc>
          <w:tcPr>
            <w:tcW w:type="dxa" w:w="30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Model</w:t>
            </w:r>
          </w:p>
        </w:tc>
        <w:tc>
          <w:tcPr>
            <w:tcW w:type="dxa" w:w="63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Graph-enhanced LightGBM</w:t>
            </w:r>
          </w:p>
        </w:tc>
      </w:tr>
      <w:tr>
        <w:trPr>
          <w:cantSplit/>
        </w:trPr>
        <w:tc>
          <w:tcPr>
            <w:tcW w:type="dxa" w:w="30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Tahmin birimi</w:t>
            </w:r>
          </w:p>
        </w:tc>
        <w:tc>
          <w:tcPr>
            <w:tcW w:type="dxa" w:w="63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Yönlü finansal işlem / kenar</w:t>
            </w:r>
          </w:p>
        </w:tc>
      </w:tr>
      <w:tr>
        <w:trPr>
          <w:cantSplit/>
        </w:trPr>
        <w:tc>
          <w:tcPr>
            <w:tcW w:type="dxa" w:w="30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Özellik sayısı</w:t>
            </w:r>
          </w:p>
        </w:tc>
        <w:tc>
          <w:tcPr>
            <w:tcW w:type="dxa" w:w="63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79 dönüştürülmüş predictor</w:t>
            </w:r>
          </w:p>
        </w:tc>
      </w:tr>
      <w:tr>
        <w:trPr>
          <w:cantSplit/>
        </w:trPr>
        <w:tc>
          <w:tcPr>
            <w:tcW w:type="dxa" w:w="30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Seçim metriği</w:t>
            </w:r>
          </w:p>
        </w:tc>
        <w:tc>
          <w:tcPr>
            <w:tcW w:type="dxa" w:w="63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Validation PR-AUC</w:t>
            </w:r>
          </w:p>
        </w:tc>
      </w:tr>
      <w:tr>
        <w:trPr>
          <w:cantSplit/>
        </w:trPr>
        <w:tc>
          <w:tcPr>
            <w:tcW w:type="dxa" w:w="30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Ham skor eşiği</w:t>
            </w:r>
          </w:p>
        </w:tc>
        <w:tc>
          <w:tcPr>
            <w:tcW w:type="dxa" w:w="63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-4.3019702136515985</w:t>
            </w:r>
          </w:p>
        </w:tc>
      </w:tr>
      <w:tr>
        <w:trPr>
          <w:cantSplit/>
        </w:trPr>
        <w:tc>
          <w:tcPr>
            <w:tcW w:type="dxa" w:w="30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Bilimsel referans</w:t>
            </w:r>
          </w:p>
        </w:tc>
        <w:tc>
          <w:tcPr>
            <w:tcW w:type="dxa" w:w="63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v1.0-scientific-final</w:t>
            </w:r>
          </w:p>
        </w:tc>
      </w:tr>
    </w:tbl>
    <w:p>
      <w:pPr>
        <w:keepNext w:val="0"/>
        <w:widowControl/>
        <w:spacing w:before="0" w:after="40" w:lineRule="auto" w:line="240"/>
      </w:pPr>
    </w:p>
    <w:p>
      <w:pPr>
        <w:pStyle w:val="Heading1"/>
        <w:keepNext/>
        <w:pageBreakBefore/>
        <w:widowControl/>
        <w:spacing w:before="0" w:after="40" w:lineRule="auto" w:line="240"/>
      </w:pPr>
      <w:r>
        <w:rPr>
          <w:rFonts w:ascii="Calibri" w:hAnsi="Calibri" w:eastAsia="Calibri"/>
          <w:b/>
          <w:color w:val="071C2C"/>
          <w:sz w:val="32"/>
        </w:rPr>
        <w:t>3. Model Sunumu</w:t>
      </w:r>
    </w:p>
    <w:p>
      <w:pPr>
        <w:keepNext/>
        <w:widowControl/>
        <w:spacing w:before="0" w:after="200" w:lineRule="auto" w:line="240"/>
      </w:pPr>
      <w:r>
        <w:rPr>
          <w:rFonts w:ascii="Calibri" w:hAnsi="Calibri" w:eastAsia="Calibri"/>
          <w:b/>
          <w:color w:val="0F766E"/>
          <w:sz w:val="17"/>
        </w:rPr>
        <w:t>MODEL SERVING</w:t>
      </w:r>
    </w:p>
    <w:tbl>
      <w:tblPr>
        <w:tblW w:type="dxa" w:w="9300"/>
        <w:jc w:val="left"/>
        <w:tblLayout w:type="fixed"/>
        <w:tblLook w:firstColumn="1" w:firstRow="1" w:lastColumn="0" w:lastRow="0" w:noHBand="0" w:noVBand="1" w:val="04A0"/>
        <w:tblInd w:w="120" w:type="dxa"/>
      </w:tblPr>
      <w:tblGrid>
        <w:gridCol w:w="150"/>
        <w:gridCol w:w="9150"/>
      </w:tblGrid>
      <w:tr>
        <w:tc>
          <w:tcPr>
            <w:tcW w:type="dxa" w:w="150"/>
            <w:tcMar>
              <w:top w:w="65" w:type="dxa"/>
              <w:start w:w="120" w:type="dxa"/>
              <w:bottom w:w="65" w:type="dxa"/>
              <w:end w:w="120" w:type="dxa"/>
            </w:tcMar>
            <w:vAlign w:val="center"/>
            <w:shd w:fill="D89A2B"/>
            <w:tcBorders>
              <w:top w:val="nil"/>
              <w:left w:val="nil"/>
              <w:bottom w:val="nil"/>
              <w:right w:val="nil"/>
              <w:insideH w:val="nil"/>
              <w:insideV w:val="nil"/>
            </w:tcBorders>
          </w:tcPr>
          <w:p/>
        </w:tc>
        <w:tc>
          <w:tcPr>
            <w:tcW w:type="dxa" w:w="9150"/>
            <w:tcMar>
              <w:top w:w="150" w:type="dxa"/>
              <w:start w:w="120" w:type="dxa"/>
              <w:bottom w:w="150" w:type="dxa"/>
              <w:end w:w="180" w:type="dxa"/>
            </w:tcMar>
            <w:vAlign w:val="center"/>
            <w:shd w:fill="FFF4DA"/>
            <w:tcBorders>
              <w:top w:val="nil"/>
              <w:left w:val="nil"/>
              <w:bottom w:val="nil"/>
              <w:right w:val="nil"/>
              <w:insideH w:val="nil"/>
              <w:insideV w:val="nil"/>
            </w:tcBorders>
          </w:tcPr>
          <w:p>
            <w:pPr>
              <w:keepNext w:val="0"/>
              <w:widowControl/>
              <w:spacing w:before="0" w:after="0" w:lineRule="auto" w:line="264"/>
            </w:pPr>
            <w:r>
              <w:rPr>
                <w:rFonts w:ascii="Calibri" w:hAnsi="Calibri" w:eastAsia="Calibri"/>
                <w:b/>
                <w:color w:val="D89A2B"/>
                <w:sz w:val="18"/>
              </w:rPr>
              <w:t xml:space="preserve">MEVCUT SERVING MODU  </w:t>
            </w:r>
            <w:r>
              <w:rPr>
                <w:rFonts w:ascii="Calibri" w:hAnsi="Calibri" w:eastAsia="Calibri"/>
                <w:color w:val="152B3A"/>
                <w:sz w:val="20"/>
              </w:rPr>
              <w:t>ARGUS’un canlı yayını online prediction servisi değildir. Model eğitimi ve final skorlama offline pipeline'da tamamlanır; Streamlit katmanı kaydedilmiş, şema doğrulanmış kanıt paketini okur.</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İstekten ekrana çalışma akışı</w:t>
      </w:r>
    </w:p>
    <w:tbl>
      <w:tblPr>
        <w:tblW w:type="dxa" w:w="9300"/>
        <w:jc w:val="left"/>
        <w:tblLayout w:type="fixed"/>
        <w:tblLook w:firstColumn="1" w:firstRow="1" w:lastColumn="0" w:lastRow="0" w:noHBand="0" w:noVBand="1" w:val="04A0"/>
        <w:tblInd w:w="120" w:type="dxa"/>
      </w:tblPr>
      <w:tblGrid>
        <w:gridCol w:w="2400"/>
        <w:gridCol w:w="6900"/>
      </w:tblGrid>
      <w:tr>
        <w:trPr>
          <w:tblHeader w:val="true"/>
          <w:cantSplit/>
        </w:trPr>
        <w:tc>
          <w:tcPr>
            <w:tcW w:type="dxa" w:w="24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Katman</w:t>
            </w:r>
          </w:p>
        </w:tc>
        <w:tc>
          <w:tcPr>
            <w:tcW w:type="dxa" w:w="69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Gerçek davranış</w:t>
            </w:r>
          </w:p>
        </w:tc>
      </w:tr>
      <w:tr>
        <w:trPr>
          <w:cantSplit/>
        </w:trPr>
        <w:tc>
          <w:tcPr>
            <w:tcW w:type="dxa" w:w="24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Giriş noktası</w:t>
            </w:r>
          </w:p>
        </w:tc>
        <w:tc>
          <w:tcPr>
            <w:tcW w:type="dxa" w:w="6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`app.py`, `argus.app.dashboard.main()` fonksiyonunu çağırır.</w:t>
            </w:r>
          </w:p>
        </w:tc>
      </w:tr>
      <w:tr>
        <w:trPr>
          <w:cantSplit/>
        </w:trPr>
        <w:tc>
          <w:tcPr>
            <w:tcW w:type="dxa" w:w="24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Yönlendirme</w:t>
            </w:r>
          </w:p>
        </w:tc>
        <w:tc>
          <w:tcPr>
            <w:tcW w:type="dxa" w:w="69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`?view=home|login|portal|...` query parametresi ve session state ile yönetilir.</w:t>
            </w:r>
          </w:p>
        </w:tc>
      </w:tr>
      <w:tr>
        <w:trPr>
          <w:cantSplit/>
        </w:trPr>
        <w:tc>
          <w:tcPr>
            <w:tcW w:type="dxa" w:w="24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Artifact seçimi</w:t>
            </w:r>
          </w:p>
        </w:tc>
        <w:tc>
          <w:tcPr>
            <w:tcW w:type="dxa" w:w="6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Ortam değişkeni → Sprint 5 → Sprint 4 → sentetik demo sırası uygulanır.</w:t>
            </w:r>
          </w:p>
        </w:tc>
      </w:tr>
      <w:tr>
        <w:trPr>
          <w:cantSplit/>
        </w:trPr>
        <w:tc>
          <w:tcPr>
            <w:tcW w:type="dxa" w:w="24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Yükleme</w:t>
            </w:r>
          </w:p>
        </w:tc>
        <w:tc>
          <w:tcPr>
            <w:tcW w:type="dxa" w:w="69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Artifact loader JSON/CSV/Parquet ürün sözleşmesini doğrular ve view model üretir.</w:t>
            </w:r>
          </w:p>
        </w:tc>
      </w:tr>
      <w:tr>
        <w:trPr>
          <w:cantSplit/>
        </w:trPr>
        <w:tc>
          <w:tcPr>
            <w:tcW w:type="dxa" w:w="24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Sunum</w:t>
            </w:r>
          </w:p>
        </w:tc>
        <w:tc>
          <w:tcPr>
            <w:tcW w:type="dxa" w:w="6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Overview, Investigations, Case Investigator ve Model Evidence sayfaları render edilir.</w:t>
            </w:r>
          </w:p>
        </w:tc>
      </w:tr>
      <w:tr>
        <w:trPr>
          <w:cantSplit/>
        </w:trPr>
        <w:tc>
          <w:tcPr>
            <w:tcW w:type="dxa" w:w="24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Karar kaydı</w:t>
            </w:r>
          </w:p>
        </w:tc>
        <w:tc>
          <w:tcPr>
            <w:tcW w:type="dxa" w:w="69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Notlar ve vaka aksiyonları yalnız Streamlit session state içinde tutulur.</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Neden offline/batch serving?</w:t>
      </w:r>
    </w:p>
    <w:p>
      <w:pPr>
        <w:keepNext w:val="0"/>
        <w:widowControl/>
        <w:spacing w:before="0" w:after="120" w:lineRule="auto" w:line="252"/>
      </w:pPr>
      <w:r>
        <w:rPr>
          <w:rFonts w:ascii="Calibri" w:hAnsi="Calibri" w:eastAsia="Calibri"/>
          <w:i w:val="0"/>
          <w:color w:val="152B3A"/>
          <w:sz w:val="19"/>
        </w:rPr>
        <w:t>Finansal suç incelemesinde yalnız skor değil, kaynağı izlenebilir işlem kayıtları, tarihsel bağlam, yönlü ağ ve model katkıları birlikte sunulmalıdır. Capstone prototipinde bunların deterministik artifact olarak hazırlanması; canlı model bağımlılığını, yanlış sürüm riskini ve tekrarlanamaz sonucu azaltır. Uygulama açılışında hiçbir eğitim yapılmaz.</w:t>
      </w:r>
    </w:p>
    <w:p>
      <w:pPr>
        <w:pStyle w:val="Heading2"/>
        <w:keepNext/>
        <w:widowControl/>
        <w:spacing w:before="160" w:after="80" w:lineRule="auto" w:line="240"/>
      </w:pPr>
      <w:r>
        <w:rPr>
          <w:rFonts w:ascii="Calibri" w:hAnsi="Calibri" w:eastAsia="Calibri"/>
          <w:b/>
          <w:color w:val="0F766E"/>
          <w:sz w:val="26"/>
        </w:rPr>
        <w:t>Bulut ve kurum içi seçenek</w:t>
      </w:r>
    </w:p>
    <w:tbl>
      <w:tblPr>
        <w:tblW w:type="dxa" w:w="9300"/>
        <w:jc w:val="left"/>
        <w:tblLayout w:type="fixed"/>
        <w:tblLook w:firstColumn="1" w:firstRow="1" w:lastColumn="0" w:lastRow="0" w:noHBand="0" w:noVBand="1" w:val="04A0"/>
        <w:tblInd w:w="120" w:type="dxa"/>
      </w:tblPr>
      <w:tblGrid>
        <w:gridCol w:w="1800"/>
        <w:gridCol w:w="3550"/>
        <w:gridCol w:w="3950"/>
      </w:tblGrid>
      <w:tr>
        <w:trPr>
          <w:tblHeader w:val="true"/>
          <w:cantSplit/>
        </w:trPr>
        <w:tc>
          <w:tcPr>
            <w:tcW w:type="dxa" w:w="18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7"/>
              </w:rPr>
              <w:t>Boyut</w:t>
            </w:r>
          </w:p>
        </w:tc>
        <w:tc>
          <w:tcPr>
            <w:tcW w:type="dxa" w:w="355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7"/>
              </w:rPr>
              <w:t>Mevcut bulut demosu</w:t>
            </w:r>
          </w:p>
        </w:tc>
        <w:tc>
          <w:tcPr>
            <w:tcW w:type="dxa" w:w="395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7"/>
              </w:rPr>
              <w:t>Üretim / on-prem önerisi</w:t>
            </w:r>
          </w:p>
        </w:tc>
      </w:tr>
      <w:tr>
        <w:trPr>
          <w:cantSplit/>
        </w:trPr>
        <w:tc>
          <w:tcPr>
            <w:tcW w:type="dxa" w:w="18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Veri</w:t>
            </w:r>
          </w:p>
        </w:tc>
        <w:tc>
          <w:tcPr>
            <w:tcW w:type="dxa" w:w="35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Sentetik ve Git ile izlenen</w:t>
            </w:r>
          </w:p>
        </w:tc>
        <w:tc>
          <w:tcPr>
            <w:tcW w:type="dxa" w:w="39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Kurum içi veri katmanı; ağ segmentasyonu</w:t>
            </w:r>
          </w:p>
        </w:tc>
      </w:tr>
      <w:tr>
        <w:trPr>
          <w:cantSplit/>
        </w:trPr>
        <w:tc>
          <w:tcPr>
            <w:tcW w:type="dxa" w:w="18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Kimlik</w:t>
            </w:r>
          </w:p>
        </w:tc>
        <w:tc>
          <w:tcPr>
            <w:tcW w:type="dxa" w:w="35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Prototype session login</w:t>
            </w:r>
          </w:p>
        </w:tc>
        <w:tc>
          <w:tcPr>
            <w:tcW w:type="dxa" w:w="39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OIDC/SAML SSO, MFA, RBAC</w:t>
            </w:r>
          </w:p>
        </w:tc>
      </w:tr>
      <w:tr>
        <w:trPr>
          <w:cantSplit/>
        </w:trPr>
        <w:tc>
          <w:tcPr>
            <w:tcW w:type="dxa" w:w="18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Serving</w:t>
            </w:r>
          </w:p>
        </w:tc>
        <w:tc>
          <w:tcPr>
            <w:tcW w:type="dxa" w:w="35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Kayıtlı vaka görüntüleme</w:t>
            </w:r>
          </w:p>
        </w:tc>
        <w:tc>
          <w:tcPr>
            <w:tcW w:type="dxa" w:w="39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Batch scoring veya ölçeklenebilir REST/gRPC</w:t>
            </w:r>
          </w:p>
        </w:tc>
      </w:tr>
      <w:tr>
        <w:trPr>
          <w:cantSplit/>
        </w:trPr>
        <w:tc>
          <w:tcPr>
            <w:tcW w:type="dxa" w:w="18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Depolama</w:t>
            </w:r>
          </w:p>
        </w:tc>
        <w:tc>
          <w:tcPr>
            <w:tcW w:type="dxa" w:w="35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7"/>
              </w:rPr>
              <w:t>Ephemeral session</w:t>
            </w:r>
          </w:p>
        </w:tc>
        <w:tc>
          <w:tcPr>
            <w:tcW w:type="dxa" w:w="39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Şifreli DB + değiştirilemez audit log</w:t>
            </w:r>
          </w:p>
        </w:tc>
      </w:tr>
      <w:tr>
        <w:trPr>
          <w:cantSplit/>
        </w:trPr>
        <w:tc>
          <w:tcPr>
            <w:tcW w:type="dxa" w:w="18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Ölçek</w:t>
            </w:r>
          </w:p>
        </w:tc>
        <w:tc>
          <w:tcPr>
            <w:tcW w:type="dxa" w:w="35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7"/>
              </w:rPr>
              <w:t>Eğitim demosu</w:t>
            </w:r>
          </w:p>
        </w:tc>
        <w:tc>
          <w:tcPr>
            <w:tcW w:type="dxa" w:w="39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Kuyruk, autoscaling ve kapasite politikası</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Çalıştırma örnekleri</w:t>
      </w:r>
    </w:p>
    <w:tbl>
      <w:tblPr>
        <w:tblW w:type="dxa" w:w="9300"/>
        <w:jc w:val="left"/>
        <w:tblLayout w:type="fixed"/>
        <w:tblLook w:firstColumn="1" w:firstRow="1" w:lastColumn="0" w:lastRow="0" w:noHBand="0" w:noVBand="1" w:val="04A0"/>
        <w:tblInd w:w="120" w:type="dxa"/>
      </w:tblPr>
      <w:tblGrid>
        <w:gridCol w:w="9300"/>
      </w:tblGrid>
      <w:tr>
        <w:tc>
          <w:tcPr>
            <w:tcW w:type="dxa" w:w="9300"/>
            <w:tcMar>
              <w:top w:w="140" w:type="dxa"/>
              <w:start w:w="120" w:type="dxa"/>
              <w:bottom w:w="140" w:type="dxa"/>
              <w:end w:w="180" w:type="dxa"/>
            </w:tcMar>
            <w:vAlign w:val="center"/>
            <w:shd w:fill="F3F6F7"/>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40"/>
            </w:pPr>
            <w:r>
              <w:rPr>
                <w:rFonts w:ascii="Consolas" w:hAnsi="Consolas" w:eastAsia="Consolas"/>
                <w:color w:val="071C2C"/>
                <w:sz w:val="17"/>
              </w:rPr>
              <w:t># Temiz klon: sentetik demo paketiyle</w:t>
            </w:r>
            <w:r>
              <w:br/>
            </w:r>
            <w:r>
              <w:rPr>
                <w:rFonts w:ascii="Consolas" w:hAnsi="Consolas" w:eastAsia="Consolas"/>
                <w:color w:val="071C2C"/>
                <w:sz w:val="17"/>
              </w:rPr>
              <w:t>python -m streamlit run app.py</w:t>
            </w:r>
            <w:r>
              <w:br/>
            </w:r>
            <w:r>
              <w:rPr>
                <w:rFonts w:ascii="Consolas" w:hAnsi="Consolas" w:eastAsia="Consolas"/>
                <w:color w:val="071C2C"/>
                <w:sz w:val="17"/>
              </w:rPr>
            </w:r>
            <w:r>
              <w:br/>
            </w:r>
            <w:r>
              <w:rPr>
                <w:rFonts w:ascii="Consolas" w:hAnsi="Consolas" w:eastAsia="Consolas"/>
                <w:color w:val="071C2C"/>
                <w:sz w:val="17"/>
              </w:rPr>
              <w:t># Doğrulanmış yerel artifact paketiyle</w:t>
            </w:r>
            <w:r>
              <w:br/>
            </w:r>
            <w:r>
              <w:rPr>
                <w:rFonts w:ascii="Consolas" w:hAnsi="Consolas" w:eastAsia="Consolas"/>
                <w:color w:val="071C2C"/>
                <w:sz w:val="17"/>
              </w:rPr>
              <w:t>$env:ARGUS_ARTIFACT_DIR = (Resolve-Path artifacts/sprint5)</w:t>
            </w:r>
            <w:r>
              <w:br/>
            </w:r>
            <w:r>
              <w:rPr>
                <w:rFonts w:ascii="Consolas" w:hAnsi="Consolas" w:eastAsia="Consolas"/>
                <w:color w:val="071C2C"/>
                <w:sz w:val="17"/>
              </w:rPr>
              <w:t>python -m streamlit run app.py</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Serving başarısının doğrulanması</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Uygulama artifact sözleşmesini yükleyemediğinde sessizce yanlış veri göstermemeli; açık hata üretmelidir.</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Sentetik demo, gerçek IBM kaydı veya frozen model çıktısı gibi etiketlenmemelidir.</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Mobil/masaüstü gezinme, login, filtreleme, vaka açma, not ve karar akışları smoke testleriyle korunur.</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Her deploy öncesi aynı kod kalite hattı çalışır ve başarısız commit yayın adayı kabul edilmez.</w:t>
      </w:r>
    </w:p>
    <w:p>
      <w:pPr>
        <w:pStyle w:val="Heading1"/>
        <w:keepNext/>
        <w:pageBreakBefore/>
        <w:widowControl/>
        <w:spacing w:before="0" w:after="40" w:lineRule="auto" w:line="240"/>
      </w:pPr>
      <w:r>
        <w:rPr>
          <w:rFonts w:ascii="Calibri" w:hAnsi="Calibri" w:eastAsia="Calibri"/>
          <w:b/>
          <w:color w:val="071C2C"/>
          <w:sz w:val="32"/>
        </w:rPr>
        <w:t>4. API Entegrasyonu</w:t>
      </w:r>
    </w:p>
    <w:p>
      <w:pPr>
        <w:keepNext/>
        <w:widowControl/>
        <w:spacing w:before="0" w:after="200" w:lineRule="auto" w:line="240"/>
      </w:pPr>
      <w:r>
        <w:rPr>
          <w:rFonts w:ascii="Calibri" w:hAnsi="Calibri" w:eastAsia="Calibri"/>
          <w:b/>
          <w:color w:val="0F766E"/>
          <w:sz w:val="17"/>
        </w:rPr>
        <w:t>API INTEGRATION</w:t>
      </w:r>
    </w:p>
    <w:tbl>
      <w:tblPr>
        <w:tblW w:type="dxa" w:w="9300"/>
        <w:jc w:val="left"/>
        <w:tblLayout w:type="fixed"/>
        <w:tblLook w:firstColumn="1" w:firstRow="1" w:lastColumn="0" w:lastRow="0" w:noHBand="0" w:noVBand="1" w:val="04A0"/>
        <w:tblInd w:w="120" w:type="dxa"/>
      </w:tblPr>
      <w:tblGrid>
        <w:gridCol w:w="150"/>
        <w:gridCol w:w="9150"/>
      </w:tblGrid>
      <w:tr>
        <w:tc>
          <w:tcPr>
            <w:tcW w:type="dxa" w:w="150"/>
            <w:tcMar>
              <w:top w:w="65" w:type="dxa"/>
              <w:start w:w="120" w:type="dxa"/>
              <w:bottom w:w="65" w:type="dxa"/>
              <w:end w:w="120" w:type="dxa"/>
            </w:tcMar>
            <w:vAlign w:val="center"/>
            <w:shd w:fill="D89A2B"/>
            <w:tcBorders>
              <w:top w:val="nil"/>
              <w:left w:val="nil"/>
              <w:bottom w:val="nil"/>
              <w:right w:val="nil"/>
              <w:insideH w:val="nil"/>
              <w:insideV w:val="nil"/>
            </w:tcBorders>
          </w:tcPr>
          <w:p/>
        </w:tc>
        <w:tc>
          <w:tcPr>
            <w:tcW w:type="dxa" w:w="9150"/>
            <w:tcMar>
              <w:top w:w="150" w:type="dxa"/>
              <w:start w:w="120" w:type="dxa"/>
              <w:bottom w:w="150" w:type="dxa"/>
              <w:end w:w="180" w:type="dxa"/>
            </w:tcMar>
            <w:vAlign w:val="center"/>
            <w:shd w:fill="FFF4DA"/>
            <w:tcBorders>
              <w:top w:val="nil"/>
              <w:left w:val="nil"/>
              <w:bottom w:val="nil"/>
              <w:right w:val="nil"/>
              <w:insideH w:val="nil"/>
              <w:insideV w:val="nil"/>
            </w:tcBorders>
          </w:tcPr>
          <w:p>
            <w:pPr>
              <w:keepNext w:val="0"/>
              <w:widowControl/>
              <w:spacing w:before="0" w:after="0" w:lineRule="auto" w:line="264"/>
            </w:pPr>
            <w:r>
              <w:rPr>
                <w:rFonts w:ascii="Calibri" w:hAnsi="Calibri" w:eastAsia="Calibri"/>
                <w:b/>
                <w:color w:val="D89A2B"/>
                <w:sz w:val="18"/>
              </w:rPr>
              <w:t xml:space="preserve">MEVCUT DURUM  </w:t>
            </w:r>
            <w:r>
              <w:rPr>
                <w:rFonts w:ascii="Calibri" w:hAnsi="Calibri" w:eastAsia="Calibri"/>
                <w:color w:val="152B3A"/>
                <w:sz w:val="20"/>
              </w:rPr>
              <w:t>Projede dış tüketicilere açık bir REST/GraphQL API uygulanmamıştır. Streamlit arayüzü Python fonksiyonlarını süreç içinde çağırır. Bu nedenle aşağıdaki endpoint sözleşmesi mevcut özellik değil, üretimleşme için önerilen tasarımdır.</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Mevcut uygulama içi sözleşme</w:t>
      </w:r>
    </w:p>
    <w:p>
      <w:pPr>
        <w:keepNext w:val="0"/>
        <w:widowControl/>
        <w:spacing w:before="0" w:after="120" w:lineRule="auto" w:line="252"/>
      </w:pPr>
      <w:r>
        <w:rPr>
          <w:rFonts w:ascii="Calibri" w:hAnsi="Calibri" w:eastAsia="Calibri"/>
          <w:i w:val="0"/>
          <w:color w:val="152B3A"/>
          <w:sz w:val="19"/>
        </w:rPr>
        <w:t>Uygulama ile model kanıtı arasındaki sınır `DashboardArtifacts` ve ürün şemalarıdır. `dashboard_bundle.json`; vaka kimliği, işlem özetleri, hesap ağı, gözlenen kanıtlar, model katkıları ve model karşılaştırma verisini tek pakette taşır. UI yalnız bu doğrulanmış yapıyı okur; serbest biçimli istemci girdisini modele geçirmez.</w:t>
      </w:r>
    </w:p>
    <w:tbl>
      <w:tblPr>
        <w:tblW w:type="dxa" w:w="9300"/>
        <w:jc w:val="left"/>
        <w:tblLayout w:type="fixed"/>
        <w:tblLook w:firstColumn="1" w:firstRow="1" w:lastColumn="0" w:lastRow="0" w:noHBand="0" w:noVBand="1" w:val="04A0"/>
        <w:tblInd w:w="120" w:type="dxa"/>
      </w:tblPr>
      <w:tblGrid>
        <w:gridCol w:w="2200"/>
        <w:gridCol w:w="3100"/>
        <w:gridCol w:w="4000"/>
      </w:tblGrid>
      <w:tr>
        <w:trPr>
          <w:tblHeader w:val="true"/>
          <w:cantSplit/>
        </w:trPr>
        <w:tc>
          <w:tcPr>
            <w:tcW w:type="dxa" w:w="22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Girdi</w:t>
            </w:r>
          </w:p>
        </w:tc>
        <w:tc>
          <w:tcPr>
            <w:tcW w:type="dxa" w:w="31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Biçim</w:t>
            </w:r>
          </w:p>
        </w:tc>
        <w:tc>
          <w:tcPr>
            <w:tcW w:type="dxa" w:w="40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Çıktı</w:t>
            </w:r>
          </w:p>
        </w:tc>
      </w:tr>
      <w:tr>
        <w:trPr>
          <w:cantSplit/>
        </w:trPr>
        <w:tc>
          <w:tcPr>
            <w:tcW w:type="dxa" w:w="22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Rota</w:t>
            </w:r>
          </w:p>
        </w:tc>
        <w:tc>
          <w:tcPr>
            <w:tcW w:type="dxa" w:w="3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`view` query parametresi</w:t>
            </w:r>
          </w:p>
        </w:tc>
        <w:tc>
          <w:tcPr>
            <w:tcW w:type="dxa" w:w="40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Public sayfa, login veya portal görünümü</w:t>
            </w:r>
          </w:p>
        </w:tc>
      </w:tr>
      <w:tr>
        <w:trPr>
          <w:cantSplit/>
        </w:trPr>
        <w:tc>
          <w:tcPr>
            <w:tcW w:type="dxa" w:w="22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Vaka seçimi</w:t>
            </w:r>
          </w:p>
        </w:tc>
        <w:tc>
          <w:tcPr>
            <w:tcW w:type="dxa" w:w="31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Case ID / widget state</w:t>
            </w:r>
          </w:p>
        </w:tc>
        <w:tc>
          <w:tcPr>
            <w:tcW w:type="dxa" w:w="40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Ağ, timeline, kayıtlar ve model kanıtı</w:t>
            </w:r>
          </w:p>
        </w:tc>
      </w:tr>
      <w:tr>
        <w:trPr>
          <w:cantSplit/>
        </w:trPr>
        <w:tc>
          <w:tcPr>
            <w:tcW w:type="dxa" w:w="22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Filtreler</w:t>
            </w:r>
          </w:p>
        </w:tc>
        <w:tc>
          <w:tcPr>
            <w:tcW w:type="dxa" w:w="3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Arama, öncelik, durum, sinyal</w:t>
            </w:r>
          </w:p>
        </w:tc>
        <w:tc>
          <w:tcPr>
            <w:tcW w:type="dxa" w:w="40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Filtrelenmiş inceleme iş listesi</w:t>
            </w:r>
          </w:p>
        </w:tc>
      </w:tr>
      <w:tr>
        <w:trPr>
          <w:cantSplit/>
        </w:trPr>
        <w:tc>
          <w:tcPr>
            <w:tcW w:type="dxa" w:w="22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Analist aksiyonu</w:t>
            </w:r>
          </w:p>
        </w:tc>
        <w:tc>
          <w:tcPr>
            <w:tcW w:type="dxa" w:w="31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Not + karar türü</w:t>
            </w:r>
          </w:p>
        </w:tc>
        <w:tc>
          <w:tcPr>
            <w:tcW w:type="dxa" w:w="40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Session-only aktivite ve durum güncellemesi</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Önerilen üretim API sözleşmesi</w:t>
      </w:r>
    </w:p>
    <w:tbl>
      <w:tblPr>
        <w:tblW w:type="dxa" w:w="9300"/>
        <w:jc w:val="left"/>
        <w:tblLayout w:type="fixed"/>
        <w:tblLook w:firstColumn="1" w:firstRow="1" w:lastColumn="0" w:lastRow="0" w:noHBand="0" w:noVBand="1" w:val="04A0"/>
        <w:tblInd w:w="120" w:type="dxa"/>
      </w:tblPr>
      <w:tblGrid>
        <w:gridCol w:w="3750"/>
        <w:gridCol w:w="1300"/>
        <w:gridCol w:w="4250"/>
      </w:tblGrid>
      <w:tr>
        <w:trPr>
          <w:tblHeader w:val="true"/>
          <w:cantSplit/>
        </w:trPr>
        <w:tc>
          <w:tcPr>
            <w:tcW w:type="dxa" w:w="375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Endpoint</w:t>
            </w:r>
          </w:p>
        </w:tc>
        <w:tc>
          <w:tcPr>
            <w:tcW w:type="dxa" w:w="13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Yöntem</w:t>
            </w:r>
          </w:p>
        </w:tc>
        <w:tc>
          <w:tcPr>
            <w:tcW w:type="dxa" w:w="425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Amaç</w:t>
            </w:r>
          </w:p>
        </w:tc>
      </w:tr>
      <w:tr>
        <w:trPr>
          <w:cantSplit/>
        </w:trPr>
        <w:tc>
          <w:tcPr>
            <w:tcW w:type="dxa" w:w="37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`/v1/health`</w:t>
            </w:r>
          </w:p>
        </w:tc>
        <w:tc>
          <w:tcPr>
            <w:tcW w:type="dxa" w:w="13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GET</w:t>
            </w:r>
          </w:p>
        </w:tc>
        <w:tc>
          <w:tcPr>
            <w:tcW w:type="dxa" w:w="42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Sürüm, model hazır olma ve bağımlılık sağlığı</w:t>
            </w:r>
          </w:p>
        </w:tc>
      </w:tr>
      <w:tr>
        <w:trPr>
          <w:cantSplit/>
        </w:trPr>
        <w:tc>
          <w:tcPr>
            <w:tcW w:type="dxa" w:w="37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`/v1/cases`</w:t>
            </w:r>
          </w:p>
        </w:tc>
        <w:tc>
          <w:tcPr>
            <w:tcW w:type="dxa" w:w="13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GET</w:t>
            </w:r>
          </w:p>
        </w:tc>
        <w:tc>
          <w:tcPr>
            <w:tcW w:type="dxa" w:w="42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Yetkiye göre sayfalı ve filtrelenmiş vaka listesi</w:t>
            </w:r>
          </w:p>
        </w:tc>
      </w:tr>
      <w:tr>
        <w:trPr>
          <w:cantSplit/>
        </w:trPr>
        <w:tc>
          <w:tcPr>
            <w:tcW w:type="dxa" w:w="37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`/v1/cases/{case_id}`</w:t>
            </w:r>
          </w:p>
        </w:tc>
        <w:tc>
          <w:tcPr>
            <w:tcW w:type="dxa" w:w="13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GET</w:t>
            </w:r>
          </w:p>
        </w:tc>
        <w:tc>
          <w:tcPr>
            <w:tcW w:type="dxa" w:w="42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Gözlenen kayıt, ağ ve model kanıtı</w:t>
            </w:r>
          </w:p>
        </w:tc>
      </w:tr>
      <w:tr>
        <w:trPr>
          <w:cantSplit/>
        </w:trPr>
        <w:tc>
          <w:tcPr>
            <w:tcW w:type="dxa" w:w="37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`/v1/transactions:score`</w:t>
            </w:r>
          </w:p>
        </w:tc>
        <w:tc>
          <w:tcPr>
            <w:tcW w:type="dxa" w:w="13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POST</w:t>
            </w:r>
          </w:p>
        </w:tc>
        <w:tc>
          <w:tcPr>
            <w:tcW w:type="dxa" w:w="42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Şema doğrulamalı tekil/batch skor talebi</w:t>
            </w:r>
          </w:p>
        </w:tc>
      </w:tr>
      <w:tr>
        <w:trPr>
          <w:cantSplit/>
        </w:trPr>
        <w:tc>
          <w:tcPr>
            <w:tcW w:type="dxa" w:w="37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`/v1/cases/{case_id}/decisions`</w:t>
            </w:r>
          </w:p>
        </w:tc>
        <w:tc>
          <w:tcPr>
            <w:tcW w:type="dxa" w:w="13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POST</w:t>
            </w:r>
          </w:p>
        </w:tc>
        <w:tc>
          <w:tcPr>
            <w:tcW w:type="dxa" w:w="42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İnsan kararını ve gerekçesini audit log'a yazma</w:t>
            </w:r>
          </w:p>
        </w:tc>
      </w:tr>
    </w:tbl>
    <w:p>
      <w:pPr>
        <w:keepNext w:val="0"/>
        <w:widowControl/>
        <w:spacing w:before="0" w:after="40" w:lineRule="auto" w:line="240"/>
      </w:pPr>
    </w:p>
    <w:p>
      <w:pPr>
        <w:pStyle w:val="Heading3"/>
        <w:keepNext/>
        <w:widowControl/>
        <w:spacing w:before="120" w:after="60" w:lineRule="auto" w:line="240"/>
      </w:pPr>
      <w:r>
        <w:rPr>
          <w:rFonts w:ascii="Calibri" w:hAnsi="Calibri" w:eastAsia="Calibri"/>
          <w:b/>
          <w:color w:val="071C2C"/>
          <w:sz w:val="23"/>
        </w:rPr>
        <w:t>Örnek skor isteği - önerilen</w:t>
      </w:r>
    </w:p>
    <w:tbl>
      <w:tblPr>
        <w:tblW w:type="dxa" w:w="9300"/>
        <w:jc w:val="left"/>
        <w:tblLayout w:type="fixed"/>
        <w:tblLook w:firstColumn="1" w:firstRow="1" w:lastColumn="0" w:lastRow="0" w:noHBand="0" w:noVBand="1" w:val="04A0"/>
        <w:tblInd w:w="120" w:type="dxa"/>
      </w:tblPr>
      <w:tblGrid>
        <w:gridCol w:w="9300"/>
      </w:tblGrid>
      <w:tr>
        <w:tc>
          <w:tcPr>
            <w:tcW w:type="dxa" w:w="9300"/>
            <w:tcMar>
              <w:top w:w="140" w:type="dxa"/>
              <w:start w:w="120" w:type="dxa"/>
              <w:bottom w:w="140" w:type="dxa"/>
              <w:end w:w="180" w:type="dxa"/>
            </w:tcMar>
            <w:vAlign w:val="center"/>
            <w:shd w:fill="F3F6F7"/>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40"/>
            </w:pPr>
            <w:r>
              <w:rPr>
                <w:rFonts w:ascii="Consolas" w:hAnsi="Consolas" w:eastAsia="Consolas"/>
                <w:color w:val="071C2C"/>
                <w:sz w:val="17"/>
              </w:rPr>
              <w:t>POST /v1/transactions:score</w:t>
            </w:r>
            <w:r>
              <w:br/>
            </w:r>
            <w:r>
              <w:rPr>
                <w:rFonts w:ascii="Consolas" w:hAnsi="Consolas" w:eastAsia="Consolas"/>
                <w:color w:val="071C2C"/>
                <w:sz w:val="17"/>
              </w:rPr>
              <w:t>Authorization: Bearer &lt;kurumsal-token&gt; | Idempotency-Key: 3ce1...</w:t>
            </w:r>
            <w:r>
              <w:br/>
            </w:r>
            <w:r>
              <w:rPr>
                <w:rFonts w:ascii="Consolas" w:hAnsi="Consolas" w:eastAsia="Consolas"/>
                <w:color w:val="071C2C"/>
                <w:sz w:val="17"/>
              </w:rPr>
              <w:t>{</w:t>
            </w:r>
            <w:r>
              <w:br/>
            </w:r>
            <w:r>
              <w:rPr>
                <w:rFonts w:ascii="Consolas" w:hAnsi="Consolas" w:eastAsia="Consolas"/>
                <w:color w:val="071C2C"/>
                <w:sz w:val="17"/>
              </w:rPr>
              <w:t xml:space="preserve">  "transaction_id": "TX-2026-000184", "timestamp": "2026-09-20T10:42:00Z",</w:t>
            </w:r>
            <w:r>
              <w:br/>
            </w:r>
            <w:r>
              <w:rPr>
                <w:rFonts w:ascii="Consolas" w:hAnsi="Consolas" w:eastAsia="Consolas"/>
                <w:color w:val="071C2C"/>
                <w:sz w:val="17"/>
              </w:rPr>
              <w:t xml:space="preserve">  "sender": {"bank_id": "101", "account_id": "A-1047"},</w:t>
            </w:r>
            <w:r>
              <w:br/>
            </w:r>
            <w:r>
              <w:rPr>
                <w:rFonts w:ascii="Consolas" w:hAnsi="Consolas" w:eastAsia="Consolas"/>
                <w:color w:val="071C2C"/>
                <w:sz w:val="17"/>
              </w:rPr>
              <w:t xml:space="preserve">  "receiver": {"bank_id": "204", "account_id": "A-3382"},</w:t>
            </w:r>
            <w:r>
              <w:br/>
            </w:r>
            <w:r>
              <w:rPr>
                <w:rFonts w:ascii="Consolas" w:hAnsi="Consolas" w:eastAsia="Consolas"/>
                <w:color w:val="071C2C"/>
                <w:sz w:val="17"/>
              </w:rPr>
              <w:t xml:space="preserve">  "amount_paid": 6250.00, "payment_currency": "USD",</w:t>
            </w:r>
            <w:r>
              <w:br/>
            </w:r>
            <w:r>
              <w:rPr>
                <w:rFonts w:ascii="Consolas" w:hAnsi="Consolas" w:eastAsia="Consolas"/>
                <w:color w:val="071C2C"/>
                <w:sz w:val="17"/>
              </w:rPr>
              <w:t xml:space="preserve">  "amount_received": 6250.00, "receiving_currency": "USD",</w:t>
            </w:r>
            <w:r>
              <w:br/>
            </w:r>
            <w:r>
              <w:rPr>
                <w:rFonts w:ascii="Consolas" w:hAnsi="Consolas" w:eastAsia="Consolas"/>
                <w:color w:val="071C2C"/>
                <w:sz w:val="17"/>
              </w:rPr>
              <w:t xml:space="preserve">  "payment_format": "Wire"</w:t>
            </w:r>
            <w:r>
              <w:br/>
            </w:r>
            <w:r>
              <w:rPr>
                <w:rFonts w:ascii="Consolas" w:hAnsi="Consolas" w:eastAsia="Consolas"/>
                <w:color w:val="071C2C"/>
                <w:sz w:val="17"/>
              </w:rPr>
              <w:t>}</w:t>
            </w:r>
          </w:p>
        </w:tc>
      </w:tr>
    </w:tbl>
    <w:p>
      <w:pPr>
        <w:keepNext w:val="0"/>
        <w:widowControl/>
        <w:spacing w:before="0" w:after="40" w:lineRule="auto" w:line="240"/>
      </w:pPr>
    </w:p>
    <w:p>
      <w:pPr>
        <w:pStyle w:val="Heading3"/>
        <w:keepNext/>
        <w:widowControl/>
        <w:spacing w:before="120" w:after="60" w:lineRule="auto" w:line="240"/>
      </w:pPr>
      <w:r>
        <w:rPr>
          <w:rFonts w:ascii="Calibri" w:hAnsi="Calibri" w:eastAsia="Calibri"/>
          <w:b/>
          <w:color w:val="071C2C"/>
          <w:sz w:val="23"/>
        </w:rPr>
        <w:t>Örnek yanıt - önerilen</w:t>
      </w:r>
    </w:p>
    <w:tbl>
      <w:tblPr>
        <w:tblW w:type="dxa" w:w="9300"/>
        <w:jc w:val="left"/>
        <w:tblLayout w:type="fixed"/>
        <w:tblLook w:firstColumn="1" w:firstRow="1" w:lastColumn="0" w:lastRow="0" w:noHBand="0" w:noVBand="1" w:val="04A0"/>
        <w:tblInd w:w="120" w:type="dxa"/>
      </w:tblPr>
      <w:tblGrid>
        <w:gridCol w:w="9300"/>
      </w:tblGrid>
      <w:tr>
        <w:tc>
          <w:tcPr>
            <w:tcW w:type="dxa" w:w="9300"/>
            <w:tcMar>
              <w:top w:w="140" w:type="dxa"/>
              <w:start w:w="120" w:type="dxa"/>
              <w:bottom w:w="140" w:type="dxa"/>
              <w:end w:w="180" w:type="dxa"/>
            </w:tcMar>
            <w:vAlign w:val="center"/>
            <w:shd w:fill="F3F6F7"/>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40"/>
            </w:pPr>
            <w:r>
              <w:rPr>
                <w:rFonts w:ascii="Consolas" w:hAnsi="Consolas" w:eastAsia="Consolas"/>
                <w:color w:val="071C2C"/>
                <w:sz w:val="17"/>
              </w:rPr>
              <w:t>{</w:t>
            </w:r>
            <w:r>
              <w:br/>
            </w:r>
            <w:r>
              <w:rPr>
                <w:rFonts w:ascii="Consolas" w:hAnsi="Consolas" w:eastAsia="Consolas"/>
                <w:color w:val="071C2C"/>
                <w:sz w:val="17"/>
              </w:rPr>
              <w:t xml:space="preserve">  "model_version": "v1.0-scientific-final", "priority_score": 0.91,</w:t>
            </w:r>
            <w:r>
              <w:br/>
            </w:r>
            <w:r>
              <w:rPr>
                <w:rFonts w:ascii="Consolas" w:hAnsi="Consolas" w:eastAsia="Consolas"/>
                <w:color w:val="071C2C"/>
                <w:sz w:val="17"/>
              </w:rPr>
              <w:t xml:space="preserve">  "priority_band": "high", "threshold": -4.3019702136515985,</w:t>
            </w:r>
            <w:r>
              <w:br/>
            </w:r>
            <w:r>
              <w:rPr>
                <w:rFonts w:ascii="Consolas" w:hAnsi="Consolas" w:eastAsia="Consolas"/>
                <w:color w:val="071C2C"/>
                <w:sz w:val="17"/>
              </w:rPr>
              <w:t xml:space="preserve">  "evidence_refs": ["OBS-001", "NET-004"],</w:t>
            </w:r>
            <w:r>
              <w:br/>
            </w:r>
            <w:r>
              <w:rPr>
                <w:rFonts w:ascii="Consolas" w:hAnsi="Consolas" w:eastAsia="Consolas"/>
                <w:color w:val="071C2C"/>
                <w:sz w:val="17"/>
              </w:rPr>
              <w:t xml:space="preserve">  "decision": "human_review_required", "trace_id": "01J..."</w:t>
            </w:r>
            <w:r>
              <w:br/>
            </w:r>
            <w:r>
              <w:rPr>
                <w:rFonts w:ascii="Consolas" w:hAnsi="Consolas" w:eastAsia="Consolas"/>
                <w:color w:val="071C2C"/>
                <w:sz w:val="17"/>
              </w:rPr>
              <w:t>}</w:t>
            </w:r>
          </w:p>
        </w:tc>
      </w:tr>
    </w:tbl>
    <w:p>
      <w:pPr>
        <w:keepNext w:val="0"/>
        <w:widowControl/>
        <w:spacing w:before="0" w:after="40" w:lineRule="auto" w:line="240"/>
      </w:pPr>
    </w:p>
    <w:p>
      <w:pPr>
        <w:keepNext w:val="0"/>
        <w:widowControl/>
        <w:spacing w:before="0" w:after="120" w:lineRule="auto" w:line="252"/>
      </w:pPr>
      <w:r>
        <w:rPr>
          <w:rFonts w:ascii="Calibri" w:hAnsi="Calibri" w:eastAsia="Calibri"/>
          <w:i w:val="0"/>
          <w:color w:val="152B3A"/>
          <w:sz w:val="19"/>
        </w:rPr>
        <w:t>`priority_score` suç olasılığı değildir. Üretim API'si sürüm, eşik, trace ID ve kanıt referanslarını dönmeli; otomatik yaptırım alanı üretmemelidir.</w:t>
      </w:r>
    </w:p>
    <w:p>
      <w:pPr>
        <w:pStyle w:val="Heading1"/>
        <w:keepNext/>
        <w:pageBreakBefore/>
        <w:widowControl/>
        <w:spacing w:before="0" w:after="40" w:lineRule="auto" w:line="240"/>
      </w:pPr>
      <w:r>
        <w:rPr>
          <w:rFonts w:ascii="Calibri" w:hAnsi="Calibri" w:eastAsia="Calibri"/>
          <w:b/>
          <w:color w:val="071C2C"/>
          <w:sz w:val="32"/>
        </w:rPr>
        <w:t>5. Güvenlik Değerlendirmeleri</w:t>
      </w:r>
    </w:p>
    <w:p>
      <w:pPr>
        <w:keepNext/>
        <w:widowControl/>
        <w:spacing w:before="0" w:after="200" w:lineRule="auto" w:line="240"/>
      </w:pPr>
      <w:r>
        <w:rPr>
          <w:rFonts w:ascii="Calibri" w:hAnsi="Calibri" w:eastAsia="Calibri"/>
          <w:b/>
          <w:color w:val="0F766E"/>
          <w:sz w:val="17"/>
        </w:rPr>
        <w:t>SECURITY CONSIDERATIONS</w:t>
      </w:r>
    </w:p>
    <w:p>
      <w:pPr>
        <w:keepNext w:val="0"/>
        <w:widowControl/>
        <w:spacing w:before="0" w:after="120" w:lineRule="auto" w:line="252"/>
      </w:pPr>
      <w:r>
        <w:rPr>
          <w:rFonts w:ascii="Calibri" w:hAnsi="Calibri" w:eastAsia="Calibri"/>
          <w:i w:val="0"/>
          <w:color w:val="152B3A"/>
          <w:sz w:val="19"/>
        </w:rPr>
        <w:t>Güvenlik yaklaşımı iki katmana ayrılır: herkese açık eğitim demosunda gerçekten uygulanan kontroller ve gerçek banka ortamına geçişte zorunlu olacak kurumsal kontroller. Bu ayrım, prototip login ekranının üretim kimlik doğrulaması gibi yanlış sunulmasını engeller.</w:t>
      </w:r>
    </w:p>
    <w:p>
      <w:pPr>
        <w:pStyle w:val="Heading2"/>
        <w:keepNext/>
        <w:widowControl/>
        <w:spacing w:before="160" w:after="80" w:lineRule="auto" w:line="240"/>
      </w:pPr>
      <w:r>
        <w:rPr>
          <w:rFonts w:ascii="Calibri" w:hAnsi="Calibri" w:eastAsia="Calibri"/>
          <w:b/>
          <w:color w:val="0F766E"/>
          <w:sz w:val="26"/>
        </w:rPr>
        <w:t>Canlı demoda uygulanan kontroller</w:t>
      </w:r>
    </w:p>
    <w:tbl>
      <w:tblPr>
        <w:tblW w:type="dxa" w:w="9300"/>
        <w:jc w:val="left"/>
        <w:tblLayout w:type="fixed"/>
        <w:tblLook w:firstColumn="1" w:firstRow="1" w:lastColumn="0" w:lastRow="0" w:noHBand="0" w:noVBand="1" w:val="04A0"/>
        <w:tblInd w:w="120" w:type="dxa"/>
      </w:tblPr>
      <w:tblGrid>
        <w:gridCol w:w="2100"/>
        <w:gridCol w:w="3700"/>
        <w:gridCol w:w="3500"/>
      </w:tblGrid>
      <w:tr>
        <w:trPr>
          <w:tblHeader w:val="true"/>
          <w:cantSplit/>
        </w:trPr>
        <w:tc>
          <w:tcPr>
            <w:tcW w:type="dxa" w:w="21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7"/>
              </w:rPr>
              <w:t>Kontrol</w:t>
            </w:r>
          </w:p>
        </w:tc>
        <w:tc>
          <w:tcPr>
            <w:tcW w:type="dxa" w:w="37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7"/>
              </w:rPr>
              <w:t>Uygulama</w:t>
            </w:r>
          </w:p>
        </w:tc>
        <w:tc>
          <w:tcPr>
            <w:tcW w:type="dxa" w:w="35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7"/>
              </w:rPr>
              <w:t>Sınır</w:t>
            </w:r>
          </w:p>
        </w:tc>
      </w:tr>
      <w:tr>
        <w:trPr>
          <w:cantSplit/>
        </w:trPr>
        <w:tc>
          <w:tcPr>
            <w:tcW w:type="dxa" w:w="2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Veri minimizasyonu</w:t>
            </w:r>
          </w:p>
        </w:tc>
        <w:tc>
          <w:tcPr>
            <w:tcW w:type="dxa" w:w="37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Yalnız sentetik demo bundle deploy edilir</w:t>
            </w:r>
          </w:p>
        </w:tc>
        <w:tc>
          <w:tcPr>
            <w:tcW w:type="dxa" w:w="3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Ham IBM dosyaları ve yerel artifact'lar Git dışıdır</w:t>
            </w:r>
          </w:p>
        </w:tc>
      </w:tr>
      <w:tr>
        <w:trPr>
          <w:cantSplit/>
        </w:trPr>
        <w:tc>
          <w:tcPr>
            <w:tcW w:type="dxa" w:w="21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Oturum kimliği</w:t>
            </w:r>
          </w:p>
        </w:tc>
        <w:tc>
          <w:tcPr>
            <w:tcW w:type="dxa" w:w="37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Opsiyonel env credential; hmac.compare_digest</w:t>
            </w:r>
          </w:p>
        </w:tc>
        <w:tc>
          <w:tcPr>
            <w:tcW w:type="dxa" w:w="35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Üretim IdP değildir</w:t>
            </w:r>
          </w:p>
        </w:tc>
      </w:tr>
      <w:tr>
        <w:trPr>
          <w:cantSplit/>
        </w:trPr>
        <w:tc>
          <w:tcPr>
            <w:tcW w:type="dxa" w:w="2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Fail-closed ayar</w:t>
            </w:r>
          </w:p>
        </w:tc>
        <w:tc>
          <w:tcPr>
            <w:tcW w:type="dxa" w:w="37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E-posta/parola env ikilisinden biri eksikse giriş kapanır</w:t>
            </w:r>
          </w:p>
        </w:tc>
        <w:tc>
          <w:tcPr>
            <w:tcW w:type="dxa" w:w="3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Secret lifecycle platforma bağlıdır</w:t>
            </w:r>
          </w:p>
        </w:tc>
      </w:tr>
      <w:tr>
        <w:trPr>
          <w:cantSplit/>
        </w:trPr>
        <w:tc>
          <w:tcPr>
            <w:tcW w:type="dxa" w:w="21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Parola saklama</w:t>
            </w:r>
          </w:p>
        </w:tc>
        <w:tc>
          <w:tcPr>
            <w:tcW w:type="dxa" w:w="37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Parola session state'e yazılmaz</w:t>
            </w:r>
          </w:p>
        </w:tc>
        <w:tc>
          <w:tcPr>
            <w:tcW w:type="dxa" w:w="35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Demo formu parola politikası uygulamaz</w:t>
            </w:r>
          </w:p>
        </w:tc>
      </w:tr>
      <w:tr>
        <w:trPr>
          <w:cantSplit/>
        </w:trPr>
        <w:tc>
          <w:tcPr>
            <w:tcW w:type="dxa" w:w="2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Oturum temizleme</w:t>
            </w:r>
          </w:p>
        </w:tc>
        <w:tc>
          <w:tcPr>
            <w:tcW w:type="dxa" w:w="37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Çıkışta kimlik ve vaka aksiyonları silinir</w:t>
            </w:r>
          </w:p>
        </w:tc>
        <w:tc>
          <w:tcPr>
            <w:tcW w:type="dxa" w:w="3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Kalıcı audit kaydı yoktur</w:t>
            </w:r>
          </w:p>
        </w:tc>
      </w:tr>
      <w:tr>
        <w:trPr>
          <w:cantSplit/>
        </w:trPr>
        <w:tc>
          <w:tcPr>
            <w:tcW w:type="dxa" w:w="21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Web güvenliği</w:t>
            </w:r>
          </w:p>
        </w:tc>
        <w:tc>
          <w:tcPr>
            <w:tcW w:type="dxa" w:w="37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Yönetilen HTTPS; CORS/XSRF korumaları kapatılmaz</w:t>
            </w:r>
          </w:p>
        </w:tc>
        <w:tc>
          <w:tcPr>
            <w:tcW w:type="dxa" w:w="35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WAF/rate limit proje katmanında yoktur</w:t>
            </w:r>
          </w:p>
        </w:tc>
      </w:tr>
      <w:tr>
        <w:trPr>
          <w:cantSplit/>
        </w:trPr>
        <w:tc>
          <w:tcPr>
            <w:tcW w:type="dxa" w:w="2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Artifact bütünlüğü</w:t>
            </w:r>
          </w:p>
        </w:tc>
        <w:tc>
          <w:tcPr>
            <w:tcW w:type="dxa" w:w="37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Frozen modeller SHA-256 ile doğrulanır</w:t>
            </w:r>
          </w:p>
        </w:tc>
        <w:tc>
          <w:tcPr>
            <w:tcW w:type="dxa" w:w="3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Yalnız güvenilir artifact kaynağı kabul edilir</w:t>
            </w:r>
          </w:p>
        </w:tc>
      </w:tr>
    </w:tbl>
    <w:p>
      <w:pPr>
        <w:keepNext w:val="0"/>
        <w:widowControl/>
        <w:spacing w:before="0" w:after="40" w:lineRule="auto" w:line="240"/>
      </w:pPr>
    </w:p>
    <w:tbl>
      <w:tblPr>
        <w:tblW w:type="dxa" w:w="9300"/>
        <w:jc w:val="left"/>
        <w:tblLayout w:type="fixed"/>
        <w:tblLook w:firstColumn="1" w:firstRow="1" w:lastColumn="0" w:lastRow="0" w:noHBand="0" w:noVBand="1" w:val="04A0"/>
        <w:tblInd w:w="120" w:type="dxa"/>
      </w:tblPr>
      <w:tblGrid>
        <w:gridCol w:w="150"/>
        <w:gridCol w:w="9150"/>
      </w:tblGrid>
      <w:tr>
        <w:tc>
          <w:tcPr>
            <w:tcW w:type="dxa" w:w="150"/>
            <w:tcMar>
              <w:top w:w="65" w:type="dxa"/>
              <w:start w:w="120" w:type="dxa"/>
              <w:bottom w:w="65" w:type="dxa"/>
              <w:end w:w="120" w:type="dxa"/>
            </w:tcMar>
            <w:vAlign w:val="center"/>
            <w:shd w:fill="9B1C1C"/>
            <w:tcBorders>
              <w:top w:val="nil"/>
              <w:left w:val="nil"/>
              <w:bottom w:val="nil"/>
              <w:right w:val="nil"/>
              <w:insideH w:val="nil"/>
              <w:insideV w:val="nil"/>
            </w:tcBorders>
          </w:tcPr>
          <w:p/>
        </w:tc>
        <w:tc>
          <w:tcPr>
            <w:tcW w:type="dxa" w:w="9150"/>
            <w:tcMar>
              <w:top w:w="150" w:type="dxa"/>
              <w:start w:w="120" w:type="dxa"/>
              <w:bottom w:w="150" w:type="dxa"/>
              <w:end w:w="180" w:type="dxa"/>
            </w:tcMar>
            <w:vAlign w:val="center"/>
            <w:shd w:fill="FBEAEA"/>
            <w:tcBorders>
              <w:top w:val="nil"/>
              <w:left w:val="nil"/>
              <w:bottom w:val="nil"/>
              <w:right w:val="nil"/>
              <w:insideH w:val="nil"/>
              <w:insideV w:val="nil"/>
            </w:tcBorders>
          </w:tcPr>
          <w:p>
            <w:pPr>
              <w:keepNext w:val="0"/>
              <w:widowControl/>
              <w:spacing w:before="0" w:after="0" w:lineRule="auto" w:line="264"/>
            </w:pPr>
            <w:r>
              <w:rPr>
                <w:rFonts w:ascii="Calibri" w:hAnsi="Calibri" w:eastAsia="Calibri"/>
                <w:b/>
                <w:color w:val="9B1C1C"/>
                <w:sz w:val="18"/>
              </w:rPr>
              <w:t xml:space="preserve">KRITIK GÜVENLIK NOTU  </w:t>
            </w:r>
            <w:r>
              <w:rPr>
                <w:rFonts w:ascii="Calibri" w:hAnsi="Calibri" w:eastAsia="Calibri"/>
                <w:color w:val="152B3A"/>
                <w:sz w:val="20"/>
              </w:rPr>
              <w:t>Joblib ve PyTorch checkpoint yükleme işlemleri kod çalıştırma riski taşıyabilir. Bu nedenle kullanıcı tarafından yüklenen veya hash'i doğrulanmayan dosyalar deserialize edilmemelidir.</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Üretim için zorunlu sertleştirme</w:t>
      </w:r>
    </w:p>
    <w:tbl>
      <w:tblPr>
        <w:tblW w:type="dxa" w:w="9300"/>
        <w:jc w:val="left"/>
        <w:tblLayout w:type="fixed"/>
        <w:tblLook w:firstColumn="1" w:firstRow="1" w:lastColumn="0" w:lastRow="0" w:noHBand="0" w:noVBand="1" w:val="04A0"/>
        <w:tblInd w:w="120" w:type="dxa"/>
      </w:tblPr>
      <w:tblGrid>
        <w:gridCol w:w="2500"/>
        <w:gridCol w:w="6800"/>
      </w:tblGrid>
      <w:tr>
        <w:trPr>
          <w:tblHeader w:val="true"/>
          <w:cantSplit/>
        </w:trPr>
        <w:tc>
          <w:tcPr>
            <w:tcW w:type="dxa" w:w="25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Alan</w:t>
            </w:r>
          </w:p>
        </w:tc>
        <w:tc>
          <w:tcPr>
            <w:tcW w:type="dxa" w:w="68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Üretim gereksinimi</w:t>
            </w:r>
          </w:p>
        </w:tc>
      </w:tr>
      <w:tr>
        <w:trPr>
          <w:cantSplit/>
        </w:trPr>
        <w:tc>
          <w:tcPr>
            <w:tcW w:type="dxa" w:w="2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Kimlik ve yetki</w:t>
            </w:r>
          </w:p>
        </w:tc>
        <w:tc>
          <w:tcPr>
            <w:tcW w:type="dxa" w:w="68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OIDC/SAML SSO, MFA, en az ayrıcalık RBAC, vaka bazlı erişim</w:t>
            </w:r>
          </w:p>
        </w:tc>
      </w:tr>
      <w:tr>
        <w:trPr>
          <w:cantSplit/>
        </w:trPr>
        <w:tc>
          <w:tcPr>
            <w:tcW w:type="dxa" w:w="25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Secret yönetimi</w:t>
            </w:r>
          </w:p>
        </w:tc>
        <w:tc>
          <w:tcPr>
            <w:tcW w:type="dxa" w:w="68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Vault/KMS, rotasyon, kısa ömürlü token, repoda sıfır secret</w:t>
            </w:r>
          </w:p>
        </w:tc>
      </w:tr>
      <w:tr>
        <w:trPr>
          <w:cantSplit/>
        </w:trPr>
        <w:tc>
          <w:tcPr>
            <w:tcW w:type="dxa" w:w="2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Şifreleme</w:t>
            </w:r>
          </w:p>
        </w:tc>
        <w:tc>
          <w:tcPr>
            <w:tcW w:type="dxa" w:w="68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TLS 1.2+, at-rest KMS anahtarları, yedeklerde şifreleme</w:t>
            </w:r>
          </w:p>
        </w:tc>
      </w:tr>
      <w:tr>
        <w:trPr>
          <w:cantSplit/>
        </w:trPr>
        <w:tc>
          <w:tcPr>
            <w:tcW w:type="dxa" w:w="25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Ağ</w:t>
            </w:r>
          </w:p>
        </w:tc>
        <w:tc>
          <w:tcPr>
            <w:tcW w:type="dxa" w:w="68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Private subnet, egress allow-list, WAF, rate limit ve servisler arası mTLS</w:t>
            </w:r>
          </w:p>
        </w:tc>
      </w:tr>
      <w:tr>
        <w:trPr>
          <w:cantSplit/>
        </w:trPr>
        <w:tc>
          <w:tcPr>
            <w:tcW w:type="dxa" w:w="2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Audit</w:t>
            </w:r>
          </w:p>
        </w:tc>
        <w:tc>
          <w:tcPr>
            <w:tcW w:type="dxa" w:w="68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Değiştirilemez kim-ne-zaman-ne yaptı kaydı; SIEM entegrasyonu</w:t>
            </w:r>
          </w:p>
        </w:tc>
      </w:tr>
      <w:tr>
        <w:trPr>
          <w:cantSplit/>
        </w:trPr>
        <w:tc>
          <w:tcPr>
            <w:tcW w:type="dxa" w:w="25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Veri yönetişimi</w:t>
            </w:r>
          </w:p>
        </w:tc>
        <w:tc>
          <w:tcPr>
            <w:tcW w:type="dxa" w:w="68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PII sınıflandırma, saklama/silme politikası, maskeleme ve DLP</w:t>
            </w:r>
          </w:p>
        </w:tc>
      </w:tr>
      <w:tr>
        <w:trPr>
          <w:cantSplit/>
        </w:trPr>
        <w:tc>
          <w:tcPr>
            <w:tcW w:type="dxa" w:w="2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Tedarik zinciri</w:t>
            </w:r>
          </w:p>
        </w:tc>
        <w:tc>
          <w:tcPr>
            <w:tcW w:type="dxa" w:w="68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SBOM, dependency/vulnerability scan, imzalı image ve artifact</w:t>
            </w:r>
          </w:p>
        </w:tc>
      </w:tr>
      <w:tr>
        <w:trPr>
          <w:cantSplit/>
        </w:trPr>
        <w:tc>
          <w:tcPr>
            <w:tcW w:type="dxa" w:w="25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Model yönetişimi</w:t>
            </w:r>
          </w:p>
        </w:tc>
        <w:tc>
          <w:tcPr>
            <w:tcW w:type="dxa" w:w="68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Versiyon onayı, rollback, bias/drift testleri, dört-göz kontrolü</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Yetkilendirme matrisi - önerilen</w:t>
      </w:r>
    </w:p>
    <w:tbl>
      <w:tblPr>
        <w:tblW w:type="dxa" w:w="9300"/>
        <w:jc w:val="left"/>
        <w:tblLayout w:type="fixed"/>
        <w:tblLook w:firstColumn="1" w:firstRow="1" w:lastColumn="0" w:lastRow="0" w:noHBand="0" w:noVBand="1" w:val="04A0"/>
        <w:tblInd w:w="120" w:type="dxa"/>
      </w:tblPr>
      <w:tblGrid>
        <w:gridCol w:w="2450"/>
        <w:gridCol w:w="2400"/>
        <w:gridCol w:w="2100"/>
        <w:gridCol w:w="2350"/>
      </w:tblGrid>
      <w:tr>
        <w:trPr>
          <w:tblHeader w:val="true"/>
          <w:cantSplit/>
        </w:trPr>
        <w:tc>
          <w:tcPr>
            <w:tcW w:type="dxa" w:w="245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7"/>
              </w:rPr>
              <w:t>Rol</w:t>
            </w:r>
          </w:p>
        </w:tc>
        <w:tc>
          <w:tcPr>
            <w:tcW w:type="dxa" w:w="24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7"/>
              </w:rPr>
              <w:t>Görüntüleme</w:t>
            </w:r>
          </w:p>
        </w:tc>
        <w:tc>
          <w:tcPr>
            <w:tcW w:type="dxa" w:w="21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7"/>
              </w:rPr>
              <w:t>Not/Karar</w:t>
            </w:r>
          </w:p>
        </w:tc>
        <w:tc>
          <w:tcPr>
            <w:tcW w:type="dxa" w:w="235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7"/>
              </w:rPr>
              <w:t>Model yönetimi</w:t>
            </w:r>
          </w:p>
        </w:tc>
      </w:tr>
      <w:tr>
        <w:trPr>
          <w:cantSplit/>
        </w:trPr>
        <w:tc>
          <w:tcPr>
            <w:tcW w:type="dxa" w:w="24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Analist</w:t>
            </w:r>
          </w:p>
        </w:tc>
        <w:tc>
          <w:tcPr>
            <w:tcW w:type="dxa" w:w="24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7"/>
              </w:rPr>
              <w:t>Atanmış vakalar</w:t>
            </w:r>
          </w:p>
        </w:tc>
        <w:tc>
          <w:tcPr>
            <w:tcW w:type="dxa" w:w="2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7"/>
              </w:rPr>
              <w:t>Evet</w:t>
            </w:r>
          </w:p>
        </w:tc>
        <w:tc>
          <w:tcPr>
            <w:tcW w:type="dxa" w:w="23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7"/>
              </w:rPr>
              <w:t>Hayır</w:t>
            </w:r>
          </w:p>
        </w:tc>
      </w:tr>
      <w:tr>
        <w:trPr>
          <w:cantSplit/>
        </w:trPr>
        <w:tc>
          <w:tcPr>
            <w:tcW w:type="dxa" w:w="24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Kıdemli analist</w:t>
            </w:r>
          </w:p>
        </w:tc>
        <w:tc>
          <w:tcPr>
            <w:tcW w:type="dxa" w:w="24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7"/>
              </w:rPr>
              <w:t>Ekip vakaları</w:t>
            </w:r>
          </w:p>
        </w:tc>
        <w:tc>
          <w:tcPr>
            <w:tcW w:type="dxa" w:w="21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7"/>
              </w:rPr>
              <w:t>Evet + onay</w:t>
            </w:r>
          </w:p>
        </w:tc>
        <w:tc>
          <w:tcPr>
            <w:tcW w:type="dxa" w:w="23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7"/>
              </w:rPr>
              <w:t>Hayır</w:t>
            </w:r>
          </w:p>
        </w:tc>
      </w:tr>
      <w:tr>
        <w:trPr>
          <w:cantSplit/>
        </w:trPr>
        <w:tc>
          <w:tcPr>
            <w:tcW w:type="dxa" w:w="24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Model risk</w:t>
            </w:r>
          </w:p>
        </w:tc>
        <w:tc>
          <w:tcPr>
            <w:tcW w:type="dxa" w:w="24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7"/>
              </w:rPr>
              <w:t>Kanıt + metrik</w:t>
            </w:r>
          </w:p>
        </w:tc>
        <w:tc>
          <w:tcPr>
            <w:tcW w:type="dxa" w:w="2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7"/>
              </w:rPr>
              <w:t>Yorum</w:t>
            </w:r>
          </w:p>
        </w:tc>
        <w:tc>
          <w:tcPr>
            <w:tcW w:type="dxa" w:w="23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7"/>
              </w:rPr>
              <w:t>Sürüm inceleme</w:t>
            </w:r>
          </w:p>
        </w:tc>
      </w:tr>
      <w:tr>
        <w:trPr>
          <w:cantSplit/>
        </w:trPr>
        <w:tc>
          <w:tcPr>
            <w:tcW w:type="dxa" w:w="24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Platform yöneticisi</w:t>
            </w:r>
          </w:p>
        </w:tc>
        <w:tc>
          <w:tcPr>
            <w:tcW w:type="dxa" w:w="24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7"/>
              </w:rPr>
              <w:t>Operasyonel meta</w:t>
            </w:r>
          </w:p>
        </w:tc>
        <w:tc>
          <w:tcPr>
            <w:tcW w:type="dxa" w:w="21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7"/>
              </w:rPr>
              <w:t>Hayır</w:t>
            </w:r>
          </w:p>
        </w:tc>
        <w:tc>
          <w:tcPr>
            <w:tcW w:type="dxa" w:w="23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7"/>
              </w:rPr>
              <w:t>Deploy/rollback</w:t>
            </w:r>
          </w:p>
        </w:tc>
      </w:tr>
    </w:tbl>
    <w:p>
      <w:pPr>
        <w:keepNext w:val="0"/>
        <w:widowControl/>
        <w:spacing w:before="0" w:after="40" w:lineRule="auto" w:line="240"/>
      </w:pPr>
    </w:p>
    <w:p>
      <w:pPr>
        <w:pStyle w:val="Heading1"/>
        <w:keepNext/>
        <w:pageBreakBefore/>
        <w:widowControl/>
        <w:spacing w:before="0" w:after="40" w:lineRule="auto" w:line="240"/>
      </w:pPr>
      <w:r>
        <w:rPr>
          <w:rFonts w:ascii="Calibri" w:hAnsi="Calibri" w:eastAsia="Calibri"/>
          <w:b/>
          <w:color w:val="071C2C"/>
          <w:sz w:val="32"/>
        </w:rPr>
        <w:t>6. İzleme ve Loglama</w:t>
      </w:r>
    </w:p>
    <w:p>
      <w:pPr>
        <w:keepNext/>
        <w:widowControl/>
        <w:spacing w:before="0" w:after="200" w:lineRule="auto" w:line="240"/>
      </w:pPr>
      <w:r>
        <w:rPr>
          <w:rFonts w:ascii="Calibri" w:hAnsi="Calibri" w:eastAsia="Calibri"/>
          <w:b/>
          <w:color w:val="0F766E"/>
          <w:sz w:val="17"/>
        </w:rPr>
        <w:t>MONITORING AND LOGGING</w:t>
      </w:r>
    </w:p>
    <w:p>
      <w:pPr>
        <w:keepNext w:val="0"/>
        <w:widowControl/>
        <w:spacing w:before="0" w:after="120" w:lineRule="auto" w:line="252"/>
      </w:pPr>
      <w:r>
        <w:rPr>
          <w:rFonts w:ascii="Calibri" w:hAnsi="Calibri" w:eastAsia="Calibri"/>
          <w:i w:val="0"/>
          <w:color w:val="152B3A"/>
          <w:sz w:val="19"/>
        </w:rPr>
        <w:t>Mevcut capstone yayını gerçek müşteri trafiği veya gerçek zamanlı skor üretmediği için, izleme iki eksende ele alınır: yazılım/deployment sağlığı ve dondurulmuş model kanıtının kalitesi. Üretim izleme planı ayrıca ve açık biçimde öneri olarak tanımlanmıştır.</w:t>
      </w:r>
    </w:p>
    <w:p>
      <w:pPr>
        <w:pStyle w:val="Heading2"/>
        <w:keepNext/>
        <w:widowControl/>
        <w:spacing w:before="160" w:after="80" w:lineRule="auto" w:line="240"/>
      </w:pPr>
      <w:r>
        <w:rPr>
          <w:rFonts w:ascii="Calibri" w:hAnsi="Calibri" w:eastAsia="Calibri"/>
          <w:b/>
          <w:color w:val="0F766E"/>
          <w:sz w:val="26"/>
        </w:rPr>
        <w:t>Mevcut kalite ve deployment gözlemleri</w:t>
      </w:r>
    </w:p>
    <w:tbl>
      <w:tblPr>
        <w:tblW w:type="dxa" w:w="9300"/>
        <w:jc w:val="left"/>
        <w:tblLayout w:type="fixed"/>
        <w:tblLook w:firstColumn="1" w:firstRow="1" w:lastColumn="0" w:lastRow="0" w:noHBand="0" w:noVBand="1" w:val="04A0"/>
        <w:tblInd w:w="120" w:type="dxa"/>
      </w:tblPr>
      <w:tblGrid>
        <w:gridCol w:w="2200"/>
        <w:gridCol w:w="2600"/>
        <w:gridCol w:w="4500"/>
      </w:tblGrid>
      <w:tr>
        <w:trPr>
          <w:tblHeader w:val="true"/>
          <w:cantSplit/>
        </w:trPr>
        <w:tc>
          <w:tcPr>
            <w:tcW w:type="dxa" w:w="22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Sinyal</w:t>
            </w:r>
          </w:p>
        </w:tc>
        <w:tc>
          <w:tcPr>
            <w:tcW w:type="dxa" w:w="26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Kaynak</w:t>
            </w:r>
          </w:p>
        </w:tc>
        <w:tc>
          <w:tcPr>
            <w:tcW w:type="dxa" w:w="45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Mevcut kontrol</w:t>
            </w:r>
          </w:p>
        </w:tc>
      </w:tr>
      <w:tr>
        <w:trPr>
          <w:cantSplit/>
        </w:trPr>
        <w:tc>
          <w:tcPr>
            <w:tcW w:type="dxa" w:w="22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Build/deploy</w:t>
            </w:r>
          </w:p>
        </w:tc>
        <w:tc>
          <w:tcPr>
            <w:tcW w:type="dxa" w:w="26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GitHub Actions / Streamlit</w:t>
            </w:r>
          </w:p>
        </w:tc>
        <w:tc>
          <w:tcPr>
            <w:tcW w:type="dxa" w:w="4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Commit bazlı durum; başarısız kalite kapısı</w:t>
            </w:r>
          </w:p>
        </w:tc>
      </w:tr>
      <w:tr>
        <w:trPr>
          <w:cantSplit/>
        </w:trPr>
        <w:tc>
          <w:tcPr>
            <w:tcW w:type="dxa" w:w="22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Kod kalitesi</w:t>
            </w:r>
          </w:p>
        </w:tc>
        <w:tc>
          <w:tcPr>
            <w:tcW w:type="dxa" w:w="26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Ruff</w:t>
            </w:r>
          </w:p>
        </w:tc>
        <w:tc>
          <w:tcPr>
            <w:tcW w:type="dxa" w:w="45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Lint ve format denetimi</w:t>
            </w:r>
          </w:p>
        </w:tc>
      </w:tr>
      <w:tr>
        <w:trPr>
          <w:cantSplit/>
        </w:trPr>
        <w:tc>
          <w:tcPr>
            <w:tcW w:type="dxa" w:w="22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Regresyon</w:t>
            </w:r>
          </w:p>
        </w:tc>
        <w:tc>
          <w:tcPr>
            <w:tcW w:type="dxa" w:w="26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Pytest</w:t>
            </w:r>
          </w:p>
        </w:tc>
        <w:tc>
          <w:tcPr>
            <w:tcW w:type="dxa" w:w="4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481 otomatik test</w:t>
            </w:r>
          </w:p>
        </w:tc>
      </w:tr>
      <w:tr>
        <w:trPr>
          <w:cantSplit/>
        </w:trPr>
        <w:tc>
          <w:tcPr>
            <w:tcW w:type="dxa" w:w="22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Test kapsamı</w:t>
            </w:r>
          </w:p>
        </w:tc>
        <w:tc>
          <w:tcPr>
            <w:tcW w:type="dxa" w:w="26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pytest-cov</w:t>
            </w:r>
          </w:p>
        </w:tc>
        <w:tc>
          <w:tcPr>
            <w:tcW w:type="dxa" w:w="45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%77 alt sınır; son yerel doğrulama %77,32</w:t>
            </w:r>
          </w:p>
        </w:tc>
      </w:tr>
      <w:tr>
        <w:trPr>
          <w:cantSplit/>
        </w:trPr>
        <w:tc>
          <w:tcPr>
            <w:tcW w:type="dxa" w:w="22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Bağımlılık</w:t>
            </w:r>
          </w:p>
        </w:tc>
        <w:tc>
          <w:tcPr>
            <w:tcW w:type="dxa" w:w="26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pip check</w:t>
            </w:r>
          </w:p>
        </w:tc>
        <w:tc>
          <w:tcPr>
            <w:tcW w:type="dxa" w:w="4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Kırık veya uyumsuz requirement denetimi</w:t>
            </w:r>
          </w:p>
        </w:tc>
      </w:tr>
      <w:tr>
        <w:trPr>
          <w:cantSplit/>
        </w:trPr>
        <w:tc>
          <w:tcPr>
            <w:tcW w:type="dxa" w:w="22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Artifact</w:t>
            </w:r>
          </w:p>
        </w:tc>
        <w:tc>
          <w:tcPr>
            <w:tcW w:type="dxa" w:w="26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Loader + final verifier</w:t>
            </w:r>
          </w:p>
        </w:tc>
        <w:tc>
          <w:tcPr>
            <w:tcW w:type="dxa" w:w="45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Şema, hash, satır ve sözleşme kontrolleri</w:t>
            </w:r>
          </w:p>
        </w:tc>
      </w:tr>
      <w:tr>
        <w:trPr>
          <w:cantSplit/>
        </w:trPr>
        <w:tc>
          <w:tcPr>
            <w:tcW w:type="dxa" w:w="22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Uygulama</w:t>
            </w:r>
          </w:p>
        </w:tc>
        <w:tc>
          <w:tcPr>
            <w:tcW w:type="dxa" w:w="26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Streamlit logları</w:t>
            </w:r>
          </w:p>
        </w:tc>
        <w:tc>
          <w:tcPr>
            <w:tcW w:type="dxa" w:w="45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Başlatma, exception ve platform restart gözlemi</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İzlenen model metrikleri</w:t>
      </w:r>
    </w:p>
    <w:tbl>
      <w:tblPr>
        <w:tblW w:type="dxa" w:w="9300"/>
        <w:jc w:val="left"/>
        <w:tblLayout w:type="fixed"/>
        <w:tblLook w:firstColumn="1" w:firstRow="1" w:lastColumn="0" w:lastRow="0" w:noHBand="0" w:noVBand="1" w:val="04A0"/>
        <w:tblInd w:w="120" w:type="dxa"/>
      </w:tblPr>
      <w:tblGrid>
        <w:gridCol w:w="2400"/>
        <w:gridCol w:w="2150"/>
        <w:gridCol w:w="4750"/>
      </w:tblGrid>
      <w:tr>
        <w:trPr>
          <w:tblHeader w:val="true"/>
          <w:cantSplit/>
        </w:trPr>
        <w:tc>
          <w:tcPr>
            <w:tcW w:type="dxa" w:w="24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Metrik</w:t>
            </w:r>
          </w:p>
        </w:tc>
        <w:tc>
          <w:tcPr>
            <w:tcW w:type="dxa" w:w="215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Frozen final test</w:t>
            </w:r>
          </w:p>
        </w:tc>
        <w:tc>
          <w:tcPr>
            <w:tcW w:type="dxa" w:w="475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Yorum</w:t>
            </w:r>
          </w:p>
        </w:tc>
      </w:tr>
      <w:tr>
        <w:trPr>
          <w:cantSplit/>
        </w:trPr>
        <w:tc>
          <w:tcPr>
            <w:tcW w:type="dxa" w:w="24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PR-AUC</w:t>
            </w:r>
          </w:p>
        </w:tc>
        <w:tc>
          <w:tcPr>
            <w:tcW w:type="dxa" w:w="21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0,690059</w:t>
            </w:r>
          </w:p>
        </w:tc>
        <w:tc>
          <w:tcPr>
            <w:tcW w:type="dxa" w:w="47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Dengesiz problemde birincil sıralama metriği</w:t>
            </w:r>
          </w:p>
        </w:tc>
      </w:tr>
      <w:tr>
        <w:trPr>
          <w:cantSplit/>
        </w:trPr>
        <w:tc>
          <w:tcPr>
            <w:tcW w:type="dxa" w:w="24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ROC-AUC</w:t>
            </w:r>
          </w:p>
        </w:tc>
        <w:tc>
          <w:tcPr>
            <w:tcW w:type="dxa" w:w="21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0,991272</w:t>
            </w:r>
          </w:p>
        </w:tc>
        <w:tc>
          <w:tcPr>
            <w:tcW w:type="dxa" w:w="47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Genel ayrıştırma; tek başına operasyon kararı değildir</w:t>
            </w:r>
          </w:p>
        </w:tc>
      </w:tr>
      <w:tr>
        <w:trPr>
          <w:cantSplit/>
        </w:trPr>
        <w:tc>
          <w:tcPr>
            <w:tcW w:type="dxa" w:w="24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Precision</w:t>
            </w:r>
          </w:p>
        </w:tc>
        <w:tc>
          <w:tcPr>
            <w:tcW w:type="dxa" w:w="21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%17,816</w:t>
            </w:r>
          </w:p>
        </w:tc>
        <w:tc>
          <w:tcPr>
            <w:tcW w:type="dxa" w:w="47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İncelenen alarmların pozitif etiket taşıyan oranı</w:t>
            </w:r>
          </w:p>
        </w:tc>
      </w:tr>
      <w:tr>
        <w:trPr>
          <w:cantSplit/>
        </w:trPr>
        <w:tc>
          <w:tcPr>
            <w:tcW w:type="dxa" w:w="24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Recall</w:t>
            </w:r>
          </w:p>
        </w:tc>
        <w:tc>
          <w:tcPr>
            <w:tcW w:type="dxa" w:w="21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%88,213</w:t>
            </w:r>
          </w:p>
        </w:tc>
        <w:tc>
          <w:tcPr>
            <w:tcW w:type="dxa" w:w="47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Pozitiflerin yakalanma oranı</w:t>
            </w:r>
          </w:p>
        </w:tc>
      </w:tr>
      <w:tr>
        <w:trPr>
          <w:cantSplit/>
        </w:trPr>
        <w:tc>
          <w:tcPr>
            <w:tcW w:type="dxa" w:w="24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FPR</w:t>
            </w:r>
          </w:p>
        </w:tc>
        <w:tc>
          <w:tcPr>
            <w:tcW w:type="dxa" w:w="21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%0,8357</w:t>
            </w:r>
          </w:p>
        </w:tc>
        <w:tc>
          <w:tcPr>
            <w:tcW w:type="dxa" w:w="47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Negatifler içindeki gereksiz alarm oranı</w:t>
            </w:r>
          </w:p>
        </w:tc>
      </w:tr>
      <w:tr>
        <w:trPr>
          <w:cantSplit/>
        </w:trPr>
        <w:tc>
          <w:tcPr>
            <w:tcW w:type="dxa" w:w="24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Alarm hacmi</w:t>
            </w:r>
          </w:p>
        </w:tc>
        <w:tc>
          <w:tcPr>
            <w:tcW w:type="dxa" w:w="21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7.729</w:t>
            </w:r>
          </w:p>
        </w:tc>
        <w:tc>
          <w:tcPr>
            <w:tcW w:type="dxa" w:w="47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Validation'da seçilen eşik final testte korunmuştur</w:t>
            </w:r>
          </w:p>
        </w:tc>
      </w:tr>
      <w:tr>
        <w:trPr>
          <w:cantSplit/>
        </w:trPr>
        <w:tc>
          <w:tcPr>
            <w:tcW w:type="dxa" w:w="24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Precision@100</w:t>
            </w:r>
          </w:p>
        </w:tc>
        <w:tc>
          <w:tcPr>
            <w:tcW w:type="dxa" w:w="21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%98,0</w:t>
            </w:r>
          </w:p>
        </w:tc>
        <w:tc>
          <w:tcPr>
            <w:tcW w:type="dxa" w:w="47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İlk 100 işlemde 98 pozitif</w:t>
            </w:r>
          </w:p>
        </w:tc>
      </w:tr>
    </w:tbl>
    <w:p>
      <w:pPr>
        <w:keepNext w:val="0"/>
        <w:widowControl/>
        <w:spacing w:before="0" w:after="40" w:lineRule="auto" w:line="240"/>
      </w:pPr>
    </w:p>
    <w:tbl>
      <w:tblPr>
        <w:tblW w:type="dxa" w:w="9300"/>
        <w:jc w:val="left"/>
        <w:tblLayout w:type="fixed"/>
        <w:tblLook w:firstColumn="1" w:firstRow="1" w:lastColumn="0" w:lastRow="0" w:noHBand="0" w:noVBand="1" w:val="04A0"/>
        <w:tblInd w:w="120" w:type="dxa"/>
      </w:tblPr>
      <w:tblGrid>
        <w:gridCol w:w="150"/>
        <w:gridCol w:w="9150"/>
      </w:tblGrid>
      <w:tr>
        <w:tc>
          <w:tcPr>
            <w:tcW w:type="dxa" w:w="150"/>
            <w:tcMar>
              <w:top w:w="65" w:type="dxa"/>
              <w:start w:w="120" w:type="dxa"/>
              <w:bottom w:w="65" w:type="dxa"/>
              <w:end w:w="120" w:type="dxa"/>
            </w:tcMar>
            <w:vAlign w:val="center"/>
            <w:shd w:fill="D89A2B"/>
            <w:tcBorders>
              <w:top w:val="nil"/>
              <w:left w:val="nil"/>
              <w:bottom w:val="nil"/>
              <w:right w:val="nil"/>
              <w:insideH w:val="nil"/>
              <w:insideV w:val="nil"/>
            </w:tcBorders>
          </w:tcPr>
          <w:p/>
        </w:tc>
        <w:tc>
          <w:tcPr>
            <w:tcW w:type="dxa" w:w="9150"/>
            <w:tcMar>
              <w:top w:w="150" w:type="dxa"/>
              <w:start w:w="120" w:type="dxa"/>
              <w:bottom w:w="150" w:type="dxa"/>
              <w:end w:w="180" w:type="dxa"/>
            </w:tcMar>
            <w:vAlign w:val="center"/>
            <w:shd w:fill="FFF4DA"/>
            <w:tcBorders>
              <w:top w:val="nil"/>
              <w:left w:val="nil"/>
              <w:bottom w:val="nil"/>
              <w:right w:val="nil"/>
              <w:insideH w:val="nil"/>
              <w:insideV w:val="nil"/>
            </w:tcBorders>
          </w:tcPr>
          <w:p>
            <w:pPr>
              <w:keepNext w:val="0"/>
              <w:widowControl/>
              <w:spacing w:before="0" w:after="0" w:lineRule="auto" w:line="264"/>
            </w:pPr>
            <w:r>
              <w:rPr>
                <w:rFonts w:ascii="Calibri" w:hAnsi="Calibri" w:eastAsia="Calibri"/>
                <w:b/>
                <w:color w:val="D89A2B"/>
                <w:sz w:val="18"/>
              </w:rPr>
              <w:t xml:space="preserve">PREVALANS UYARISI  </w:t>
            </w:r>
            <w:r>
              <w:rPr>
                <w:rFonts w:ascii="Calibri" w:hAnsi="Calibri" w:eastAsia="Calibri"/>
                <w:color w:val="152B3A"/>
                <w:sz w:val="20"/>
              </w:rPr>
              <w:t>Pozitif oran validation döneminde %0,099770 iken final testte %0,204953 olmuştur (2,054×). Precision ve sabit eşik alarm hacmi bu dağılım değişimiyle birlikte yorumlanmalıdır.</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Üretim gözlemlenebilirlik planı</w:t>
      </w:r>
    </w:p>
    <w:tbl>
      <w:tblPr>
        <w:tblW w:type="dxa" w:w="9300"/>
        <w:jc w:val="left"/>
        <w:tblLayout w:type="fixed"/>
        <w:tblLook w:firstColumn="1" w:firstRow="1" w:lastColumn="0" w:lastRow="0" w:noHBand="0" w:noVBand="1" w:val="04A0"/>
        <w:tblInd w:w="120" w:type="dxa"/>
      </w:tblPr>
      <w:tblGrid>
        <w:gridCol w:w="1750"/>
        <w:gridCol w:w="2900"/>
        <w:gridCol w:w="1650"/>
        <w:gridCol w:w="3000"/>
      </w:tblGrid>
      <w:tr>
        <w:trPr>
          <w:tblHeader w:val="true"/>
          <w:cantSplit/>
        </w:trPr>
        <w:tc>
          <w:tcPr>
            <w:tcW w:type="dxa" w:w="175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7"/>
              </w:rPr>
              <w:t>Alan</w:t>
            </w:r>
          </w:p>
        </w:tc>
        <w:tc>
          <w:tcPr>
            <w:tcW w:type="dxa" w:w="29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7"/>
              </w:rPr>
              <w:t>Metrik / log</w:t>
            </w:r>
          </w:p>
        </w:tc>
        <w:tc>
          <w:tcPr>
            <w:tcW w:type="dxa" w:w="165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7"/>
              </w:rPr>
              <w:t>Sıklık</w:t>
            </w:r>
          </w:p>
        </w:tc>
        <w:tc>
          <w:tcPr>
            <w:tcW w:type="dxa" w:w="30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7"/>
              </w:rPr>
              <w:t>Alarm örneği</w:t>
            </w:r>
          </w:p>
        </w:tc>
      </w:tr>
      <w:tr>
        <w:trPr>
          <w:cantSplit/>
        </w:trPr>
        <w:tc>
          <w:tcPr>
            <w:tcW w:type="dxa" w:w="17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Servis sağlığı</w:t>
            </w:r>
          </w:p>
        </w:tc>
        <w:tc>
          <w:tcPr>
            <w:tcW w:type="dxa" w:w="2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5xx, p95 latency, throughput</w:t>
            </w:r>
          </w:p>
        </w:tc>
        <w:tc>
          <w:tcPr>
            <w:tcW w:type="dxa" w:w="16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7"/>
              </w:rPr>
              <w:t>1 dk</w:t>
            </w:r>
          </w:p>
        </w:tc>
        <w:tc>
          <w:tcPr>
            <w:tcW w:type="dxa" w:w="30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5xx &gt; %1 veya p95 &gt; 1 sn</w:t>
            </w:r>
          </w:p>
        </w:tc>
      </w:tr>
      <w:tr>
        <w:trPr>
          <w:cantSplit/>
        </w:trPr>
        <w:tc>
          <w:tcPr>
            <w:tcW w:type="dxa" w:w="17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Veri kalitesi</w:t>
            </w:r>
          </w:p>
        </w:tc>
        <w:tc>
          <w:tcPr>
            <w:tcW w:type="dxa" w:w="29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Şema hatası, null, bilinmeyen kategori</w:t>
            </w:r>
          </w:p>
        </w:tc>
        <w:tc>
          <w:tcPr>
            <w:tcW w:type="dxa" w:w="16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7"/>
              </w:rPr>
              <w:t>Batch/istek</w:t>
            </w:r>
          </w:p>
        </w:tc>
        <w:tc>
          <w:tcPr>
            <w:tcW w:type="dxa" w:w="30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Sözleşme ihlali &gt; 0</w:t>
            </w:r>
          </w:p>
        </w:tc>
      </w:tr>
      <w:tr>
        <w:trPr>
          <w:cantSplit/>
        </w:trPr>
        <w:tc>
          <w:tcPr>
            <w:tcW w:type="dxa" w:w="17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Drift</w:t>
            </w:r>
          </w:p>
        </w:tc>
        <w:tc>
          <w:tcPr>
            <w:tcW w:type="dxa" w:w="2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PSI/JS, skor ve özellik dağılımı</w:t>
            </w:r>
          </w:p>
        </w:tc>
        <w:tc>
          <w:tcPr>
            <w:tcW w:type="dxa" w:w="16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7"/>
              </w:rPr>
              <w:t>Günlük/haftalık</w:t>
            </w:r>
          </w:p>
        </w:tc>
        <w:tc>
          <w:tcPr>
            <w:tcW w:type="dxa" w:w="30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PSI &gt; 0,20 inceleme</w:t>
            </w:r>
          </w:p>
        </w:tc>
      </w:tr>
      <w:tr>
        <w:trPr>
          <w:cantSplit/>
        </w:trPr>
        <w:tc>
          <w:tcPr>
            <w:tcW w:type="dxa" w:w="17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Model sonuçları</w:t>
            </w:r>
          </w:p>
        </w:tc>
        <w:tc>
          <w:tcPr>
            <w:tcW w:type="dxa" w:w="29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PR-AUC, Recall, Precision, FPR</w:t>
            </w:r>
          </w:p>
        </w:tc>
        <w:tc>
          <w:tcPr>
            <w:tcW w:type="dxa" w:w="16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Etiket gecikmesine göre</w:t>
            </w:r>
          </w:p>
        </w:tc>
        <w:tc>
          <w:tcPr>
            <w:tcW w:type="dxa" w:w="30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Onaylı tabana göre anlamlı düşüş</w:t>
            </w:r>
          </w:p>
        </w:tc>
      </w:tr>
      <w:tr>
        <w:trPr>
          <w:cantSplit/>
        </w:trPr>
        <w:tc>
          <w:tcPr>
            <w:tcW w:type="dxa" w:w="17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İş yükü</w:t>
            </w:r>
          </w:p>
        </w:tc>
        <w:tc>
          <w:tcPr>
            <w:tcW w:type="dxa" w:w="2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Alarm hacmi, backlog, karar süresi</w:t>
            </w:r>
          </w:p>
        </w:tc>
        <w:tc>
          <w:tcPr>
            <w:tcW w:type="dxa" w:w="16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7"/>
              </w:rPr>
              <w:t>Saatlik/günlük</w:t>
            </w:r>
          </w:p>
        </w:tc>
        <w:tc>
          <w:tcPr>
            <w:tcW w:type="dxa" w:w="30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Kapasite eşiği aşımı</w:t>
            </w:r>
          </w:p>
        </w:tc>
      </w:tr>
      <w:tr>
        <w:trPr>
          <w:cantSplit/>
        </w:trPr>
        <w:tc>
          <w:tcPr>
            <w:tcW w:type="dxa" w:w="17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Güvenlik</w:t>
            </w:r>
          </w:p>
        </w:tc>
        <w:tc>
          <w:tcPr>
            <w:tcW w:type="dxa" w:w="29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Login hata, yetki reddi, artifact hash</w:t>
            </w:r>
          </w:p>
        </w:tc>
        <w:tc>
          <w:tcPr>
            <w:tcW w:type="dxa" w:w="165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7"/>
              </w:rPr>
              <w:t>Anlık</w:t>
            </w:r>
          </w:p>
        </w:tc>
        <w:tc>
          <w:tcPr>
            <w:tcW w:type="dxa" w:w="30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7"/>
              </w:rPr>
              <w:t>Ani artış veya hash uyuşmazlığı</w:t>
            </w:r>
          </w:p>
        </w:tc>
      </w:tr>
      <w:tr>
        <w:trPr>
          <w:cantSplit/>
        </w:trPr>
        <w:tc>
          <w:tcPr>
            <w:tcW w:type="dxa" w:w="17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İnsan denetimi</w:t>
            </w:r>
          </w:p>
        </w:tc>
        <w:tc>
          <w:tcPr>
            <w:tcW w:type="dxa" w:w="29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Escalate/false positive/close dağılımı</w:t>
            </w:r>
          </w:p>
        </w:tc>
        <w:tc>
          <w:tcPr>
            <w:tcW w:type="dxa" w:w="165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7"/>
              </w:rPr>
              <w:t>Haftalık</w:t>
            </w:r>
          </w:p>
        </w:tc>
        <w:tc>
          <w:tcPr>
            <w:tcW w:type="dxa" w:w="30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7"/>
              </w:rPr>
              <w:t>Karar dağılımında beklenmeyen kayma</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Loglama ilkeleri</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Kayıt; zaman damgası, trace ID, model sürümü, artifact hash ve sonuç kodunu içermelidir.</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Parola, token ve ham kişisel veri loglanmamalı; gözlenen kayıt referansları değiştirilemez korunmalıdır.</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Analist kararı model skorundan ayrı audit event olmalı; kritik alarmlar kurumsal kanallara yönlendirilmelidir.</w:t>
      </w:r>
    </w:p>
    <w:p>
      <w:pPr>
        <w:pStyle w:val="Heading2"/>
        <w:keepNext/>
        <w:widowControl/>
        <w:spacing w:before="160" w:after="80" w:lineRule="auto" w:line="240"/>
      </w:pPr>
      <w:r>
        <w:rPr>
          <w:rFonts w:ascii="Calibri" w:hAnsi="Calibri" w:eastAsia="Calibri"/>
          <w:b/>
          <w:color w:val="0F766E"/>
          <w:sz w:val="26"/>
        </w:rPr>
        <w:t>Mevcut sınırlılık</w:t>
      </w:r>
    </w:p>
    <w:p>
      <w:pPr>
        <w:keepNext w:val="0"/>
        <w:widowControl/>
        <w:spacing w:before="0" w:after="120" w:lineRule="auto" w:line="252"/>
      </w:pPr>
      <w:r>
        <w:rPr>
          <w:rFonts w:ascii="Calibri" w:hAnsi="Calibri" w:eastAsia="Calibri"/>
          <w:i w:val="0"/>
          <w:color w:val="152B3A"/>
          <w:sz w:val="19"/>
        </w:rPr>
        <w:t>Canlı demo kalıcı telemetri, SIEM/APM, drift servisi veya pager içermez. Streamlit logları ve CI kapıları capstone kanıtıdır; üretim bankacılığı için yukarıdaki plan ayrıca uygulanmalıdır.</w:t>
      </w:r>
    </w:p>
    <w:p>
      <w:pPr>
        <w:pStyle w:val="Heading1"/>
        <w:keepNext/>
        <w:pageBreakBefore/>
        <w:widowControl/>
        <w:spacing w:before="0" w:after="160" w:lineRule="auto" w:line="240"/>
      </w:pPr>
      <w:r>
        <w:rPr>
          <w:rFonts w:ascii="Calibri" w:hAnsi="Calibri" w:eastAsia="Calibri"/>
          <w:b/>
          <w:color w:val="071C2C"/>
          <w:sz w:val="32"/>
        </w:rPr>
        <w:t>Sonuç ve Üretime Geçiş Kararı</w:t>
      </w:r>
    </w:p>
    <w:p>
      <w:pPr>
        <w:keepNext w:val="0"/>
        <w:widowControl/>
        <w:spacing w:before="0" w:after="120" w:lineRule="auto" w:line="252"/>
      </w:pPr>
      <w:r>
        <w:rPr>
          <w:rFonts w:ascii="Calibri" w:hAnsi="Calibri" w:eastAsia="Calibri"/>
          <w:i w:val="0"/>
          <w:color w:val="152B3A"/>
          <w:sz w:val="19"/>
        </w:rPr>
        <w:t>ARGUS deployment aşaması, capstone hedefi olan güçlü ve erişilebilir ürün demosunu başarıyla tamamlamıştır. Kod, dokümantasyon, kalite kapısı, sentetik demo paketi ve canlı Streamlit yayını birbiriyle uyumludur. Buna karşılık gerçek banka verisiyle üretim kullanımı için kimlik, yetki, kalıcı audit, güvenli online/batch serving, drift izleme ve kurum içi doğrulama henüz zorunlu sonraki aşamalardır.</w:t>
      </w:r>
    </w:p>
    <w:tbl>
      <w:tblPr>
        <w:tblW w:type="dxa" w:w="9300"/>
        <w:jc w:val="left"/>
        <w:tblLayout w:type="fixed"/>
        <w:tblLook w:firstColumn="1" w:firstRow="1" w:lastColumn="0" w:lastRow="0" w:noHBand="0" w:noVBand="1" w:val="04A0"/>
        <w:tblInd w:w="120" w:type="dxa"/>
      </w:tblPr>
      <w:tblGrid>
        <w:gridCol w:w="150"/>
        <w:gridCol w:w="9150"/>
      </w:tblGrid>
      <w:tr>
        <w:tc>
          <w:tcPr>
            <w:tcW w:type="dxa" w:w="150"/>
            <w:tcMar>
              <w:top w:w="65" w:type="dxa"/>
              <w:start w:w="120" w:type="dxa"/>
              <w:bottom w:w="65" w:type="dxa"/>
              <w:end w:w="120" w:type="dxa"/>
            </w:tcMar>
            <w:vAlign w:val="center"/>
            <w:shd w:fill="157347"/>
            <w:tcBorders>
              <w:top w:val="nil"/>
              <w:left w:val="nil"/>
              <w:bottom w:val="nil"/>
              <w:right w:val="nil"/>
              <w:insideH w:val="nil"/>
              <w:insideV w:val="nil"/>
            </w:tcBorders>
          </w:tcPr>
          <w:p/>
        </w:tc>
        <w:tc>
          <w:tcPr>
            <w:tcW w:type="dxa" w:w="9150"/>
            <w:tcMar>
              <w:top w:w="150" w:type="dxa"/>
              <w:start w:w="120" w:type="dxa"/>
              <w:bottom w:w="150" w:type="dxa"/>
              <w:end w:w="180" w:type="dxa"/>
            </w:tcMar>
            <w:vAlign w:val="center"/>
            <w:shd w:fill="E7F5EC"/>
            <w:tcBorders>
              <w:top w:val="nil"/>
              <w:left w:val="nil"/>
              <w:bottom w:val="nil"/>
              <w:right w:val="nil"/>
              <w:insideH w:val="nil"/>
              <w:insideV w:val="nil"/>
            </w:tcBorders>
          </w:tcPr>
          <w:p>
            <w:pPr>
              <w:keepNext w:val="0"/>
              <w:widowControl/>
              <w:spacing w:before="0" w:after="0" w:lineRule="auto" w:line="264"/>
            </w:pPr>
            <w:r>
              <w:rPr>
                <w:rFonts w:ascii="Calibri" w:hAnsi="Calibri" w:eastAsia="Calibri"/>
                <w:b/>
                <w:color w:val="157347"/>
                <w:sz w:val="18"/>
              </w:rPr>
              <w:t xml:space="preserve">KARAR  </w:t>
            </w:r>
            <w:r>
              <w:rPr>
                <w:rFonts w:ascii="Calibri" w:hAnsi="Calibri" w:eastAsia="Calibri"/>
                <w:color w:val="152B3A"/>
                <w:sz w:val="20"/>
              </w:rPr>
              <w:t>Eğitim ve portföy gösterimi için hazır. Gerçek müşteri verisi ve otomatik operasyonel aksiyon için hazır değildir; production readiness incelemesi ve kurum kontrolleri gerektirir.</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Deployment kabul kontrol listesi</w:t>
      </w:r>
    </w:p>
    <w:tbl>
      <w:tblPr>
        <w:tblW w:type="dxa" w:w="9300"/>
        <w:jc w:val="left"/>
        <w:tblLayout w:type="fixed"/>
        <w:tblLook w:firstColumn="1" w:firstRow="1" w:lastColumn="0" w:lastRow="0" w:noHBand="0" w:noVBand="1" w:val="04A0"/>
        <w:tblInd w:w="120" w:type="dxa"/>
      </w:tblPr>
      <w:tblGrid>
        <w:gridCol w:w="1100"/>
        <w:gridCol w:w="8200"/>
      </w:tblGrid>
      <w:tr>
        <w:trPr>
          <w:tblHeader w:val="true"/>
          <w:cantSplit/>
        </w:trPr>
        <w:tc>
          <w:tcPr>
            <w:tcW w:type="dxa" w:w="11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Durum</w:t>
            </w:r>
          </w:p>
        </w:tc>
        <w:tc>
          <w:tcPr>
            <w:tcW w:type="dxa" w:w="82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Kontrol</w:t>
            </w:r>
          </w:p>
        </w:tc>
      </w:tr>
      <w:tr>
        <w:trPr>
          <w:cantSplit/>
        </w:trPr>
        <w:tc>
          <w:tcPr>
            <w:tcW w:type="dxa" w:w="1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w:t>
            </w:r>
          </w:p>
        </w:tc>
        <w:tc>
          <w:tcPr>
            <w:tcW w:type="dxa" w:w="82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Canlı uygulama ve giriş akışı erişilebilir</w:t>
            </w:r>
          </w:p>
        </w:tc>
      </w:tr>
      <w:tr>
        <w:trPr>
          <w:cantSplit/>
        </w:trPr>
        <w:tc>
          <w:tcPr>
            <w:tcW w:type="dxa" w:w="11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w:t>
            </w:r>
          </w:p>
        </w:tc>
        <w:tc>
          <w:tcPr>
            <w:tcW w:type="dxa" w:w="82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Sentetik demo provenance etiketi görünür</w:t>
            </w:r>
          </w:p>
        </w:tc>
      </w:tr>
      <w:tr>
        <w:trPr>
          <w:cantSplit/>
        </w:trPr>
        <w:tc>
          <w:tcPr>
            <w:tcW w:type="dxa" w:w="1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w:t>
            </w:r>
          </w:p>
        </w:tc>
        <w:tc>
          <w:tcPr>
            <w:tcW w:type="dxa" w:w="82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Model kanıtı gözlenen kayıtlardan ayrı</w:t>
            </w:r>
          </w:p>
        </w:tc>
      </w:tr>
      <w:tr>
        <w:trPr>
          <w:cantSplit/>
        </w:trPr>
        <w:tc>
          <w:tcPr>
            <w:tcW w:type="dxa" w:w="11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w:t>
            </w:r>
          </w:p>
        </w:tc>
        <w:tc>
          <w:tcPr>
            <w:tcW w:type="dxa" w:w="82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GitHub Actions kalite hattı aktif</w:t>
            </w:r>
          </w:p>
        </w:tc>
      </w:tr>
      <w:tr>
        <w:trPr>
          <w:cantSplit/>
        </w:trPr>
        <w:tc>
          <w:tcPr>
            <w:tcW w:type="dxa" w:w="1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w:t>
            </w:r>
          </w:p>
        </w:tc>
        <w:tc>
          <w:tcPr>
            <w:tcW w:type="dxa" w:w="82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Ham veri ve yerel artifact'lar Git dışında</w:t>
            </w:r>
          </w:p>
        </w:tc>
      </w:tr>
      <w:tr>
        <w:trPr>
          <w:cantSplit/>
        </w:trPr>
        <w:tc>
          <w:tcPr>
            <w:tcW w:type="dxa" w:w="11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w:t>
            </w:r>
          </w:p>
        </w:tc>
        <w:tc>
          <w:tcPr>
            <w:tcW w:type="dxa" w:w="82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README ve teknik dokümanlar deployment bağlantısını içeriyor</w:t>
            </w:r>
          </w:p>
        </w:tc>
      </w:tr>
      <w:tr>
        <w:trPr>
          <w:cantSplit/>
        </w:trPr>
        <w:tc>
          <w:tcPr>
            <w:tcW w:type="dxa" w:w="1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w:t>
            </w:r>
          </w:p>
        </w:tc>
        <w:tc>
          <w:tcPr>
            <w:tcW w:type="dxa" w:w="82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Üretim IdP/RBAC ve kalıcı audit - sonraki aşama</w:t>
            </w:r>
          </w:p>
        </w:tc>
      </w:tr>
      <w:tr>
        <w:trPr>
          <w:cantSplit/>
        </w:trPr>
        <w:tc>
          <w:tcPr>
            <w:tcW w:type="dxa" w:w="11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w:t>
            </w:r>
          </w:p>
        </w:tc>
        <w:tc>
          <w:tcPr>
            <w:tcW w:type="dxa" w:w="82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Online scoring API ve drift alerting - sonraki aşama</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Ek A - Dağıtım yapılandırması</w:t>
      </w:r>
    </w:p>
    <w:tbl>
      <w:tblPr>
        <w:tblW w:type="dxa" w:w="9300"/>
        <w:jc w:val="left"/>
        <w:tblLayout w:type="fixed"/>
        <w:tblLook w:firstColumn="1" w:firstRow="1" w:lastColumn="0" w:lastRow="0" w:noHBand="0" w:noVBand="1" w:val="04A0"/>
        <w:tblInd w:w="120" w:type="dxa"/>
      </w:tblPr>
      <w:tblGrid>
        <w:gridCol w:w="3100"/>
        <w:gridCol w:w="6200"/>
      </w:tblGrid>
      <w:tr>
        <w:trPr>
          <w:tblHeader w:val="true"/>
          <w:cantSplit/>
        </w:trPr>
        <w:tc>
          <w:tcPr>
            <w:tcW w:type="dxa" w:w="31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Ayar</w:t>
            </w:r>
          </w:p>
        </w:tc>
        <w:tc>
          <w:tcPr>
            <w:tcW w:type="dxa" w:w="6200"/>
            <w:tcMar>
              <w:top w:w="65" w:type="dxa"/>
              <w:start w:w="120" w:type="dxa"/>
              <w:bottom w:w="65" w:type="dxa"/>
              <w:end w:w="120" w:type="dxa"/>
            </w:tcMar>
            <w:vAlign w:val="center"/>
            <w:shd w:fill="071C2C"/>
            <w:tcBorders>
              <w:top w:val="single" w:sz="6" w:color="071C2C"/>
              <w:left w:val="single" w:sz="6" w:color="071C2C"/>
              <w:bottom w:val="single" w:sz="6" w:color="071C2C"/>
              <w:right w:val="single" w:sz="6" w:color="071C2C"/>
              <w:insideH w:val="single" w:sz="6" w:color="071C2C"/>
              <w:insideV w:val="single" w:sz="6" w:color="071C2C"/>
            </w:tcBorders>
          </w:tcPr>
          <w:p>
            <w:pPr>
              <w:keepNext w:val="0"/>
              <w:widowControl/>
              <w:spacing w:before="0" w:after="0" w:lineRule="auto" w:line="252"/>
              <w:jc w:val="left"/>
            </w:pPr>
            <w:r>
              <w:rPr>
                <w:rFonts w:ascii="Calibri" w:hAnsi="Calibri" w:eastAsia="Calibri"/>
                <w:b/>
                <w:color w:val="FFFFFF"/>
                <w:sz w:val="18"/>
              </w:rPr>
              <w:t>Değer</w:t>
            </w:r>
          </w:p>
        </w:tc>
      </w:tr>
      <w:tr>
        <w:trPr>
          <w:cantSplit/>
        </w:trPr>
        <w:tc>
          <w:tcPr>
            <w:tcW w:type="dxa" w:w="3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Runtime</w:t>
            </w:r>
          </w:p>
        </w:tc>
        <w:tc>
          <w:tcPr>
            <w:tcW w:type="dxa" w:w="62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center"/>
            </w:pPr>
            <w:r>
              <w:rPr>
                <w:rFonts w:ascii="Calibri" w:hAnsi="Calibri" w:eastAsia="Calibri"/>
                <w:b w:val="0"/>
                <w:color w:val="152B3A"/>
                <w:sz w:val="18"/>
              </w:rPr>
              <w:t>Python 3.12</w:t>
            </w:r>
          </w:p>
        </w:tc>
      </w:tr>
      <w:tr>
        <w:trPr>
          <w:cantSplit/>
        </w:trPr>
        <w:tc>
          <w:tcPr>
            <w:tcW w:type="dxa" w:w="31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Entrypoint</w:t>
            </w:r>
          </w:p>
        </w:tc>
        <w:tc>
          <w:tcPr>
            <w:tcW w:type="dxa" w:w="62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center"/>
            </w:pPr>
            <w:r>
              <w:rPr>
                <w:rFonts w:ascii="Calibri" w:hAnsi="Calibri" w:eastAsia="Calibri"/>
                <w:b w:val="0"/>
                <w:color w:val="152B3A"/>
                <w:sz w:val="18"/>
              </w:rPr>
              <w:t>app.py</w:t>
            </w:r>
          </w:p>
        </w:tc>
      </w:tr>
      <w:tr>
        <w:trPr>
          <w:cantSplit/>
        </w:trPr>
        <w:tc>
          <w:tcPr>
            <w:tcW w:type="dxa" w:w="3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App dependencies</w:t>
            </w:r>
          </w:p>
        </w:tc>
        <w:tc>
          <w:tcPr>
            <w:tcW w:type="dxa" w:w="62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requirements.txt → -e .[app]</w:t>
            </w:r>
          </w:p>
        </w:tc>
      </w:tr>
      <w:tr>
        <w:trPr>
          <w:cantSplit/>
        </w:trPr>
        <w:tc>
          <w:tcPr>
            <w:tcW w:type="dxa" w:w="31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Tema</w:t>
            </w:r>
          </w:p>
        </w:tc>
        <w:tc>
          <w:tcPr>
            <w:tcW w:type="dxa" w:w="62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.streamlit/config.toml</w:t>
            </w:r>
          </w:p>
        </w:tc>
      </w:tr>
      <w:tr>
        <w:trPr>
          <w:cantSplit/>
        </w:trPr>
        <w:tc>
          <w:tcPr>
            <w:tcW w:type="dxa" w:w="3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Artifact override</w:t>
            </w:r>
          </w:p>
        </w:tc>
        <w:tc>
          <w:tcPr>
            <w:tcW w:type="dxa" w:w="62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ARGUS_ARTIFACT_DIR</w:t>
            </w:r>
          </w:p>
        </w:tc>
      </w:tr>
      <w:tr>
        <w:trPr>
          <w:cantSplit/>
        </w:trPr>
        <w:tc>
          <w:tcPr>
            <w:tcW w:type="dxa" w:w="31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Opsiyonel demo kimliği</w:t>
            </w:r>
          </w:p>
        </w:tc>
        <w:tc>
          <w:tcPr>
            <w:tcW w:type="dxa" w:w="6200"/>
            <w:tcBorders>
              <w:top w:val="single" w:sz="4" w:color="C8D5D8"/>
              <w:left w:val="single" w:sz="4" w:color="C8D5D8"/>
              <w:bottom w:val="single" w:sz="4" w:color="C8D5D8"/>
              <w:right w:val="single" w:sz="4" w:color="C8D5D8"/>
              <w:insideH w:val="single" w:sz="4" w:color="C8D5D8"/>
              <w:insideV w:val="single" w:sz="4" w:color="C8D5D8"/>
            </w:tcBorders>
            <w:shd w:fill="F4F6F7"/>
          </w:tcPr>
          <w:p>
            <w:pPr>
              <w:keepNext w:val="0"/>
              <w:widowControl/>
              <w:spacing w:before="0" w:after="0" w:lineRule="auto" w:line="252"/>
              <w:jc w:val="left"/>
            </w:pPr>
            <w:r>
              <w:rPr>
                <w:rFonts w:ascii="Calibri" w:hAnsi="Calibri" w:eastAsia="Calibri"/>
                <w:b w:val="0"/>
                <w:color w:val="152B3A"/>
                <w:sz w:val="18"/>
              </w:rPr>
              <w:t>ARGUS_DEMO_EMAIL + ARGUS_DEMO_PASSWORD</w:t>
            </w:r>
          </w:p>
        </w:tc>
      </w:tr>
      <w:tr>
        <w:trPr>
          <w:cantSplit/>
        </w:trPr>
        <w:tc>
          <w:tcPr>
            <w:tcW w:type="dxa" w:w="31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Canlı veri paketi</w:t>
            </w:r>
          </w:p>
        </w:tc>
        <w:tc>
          <w:tcPr>
            <w:tcW w:type="dxa" w:w="6200"/>
            <w:tcBorders>
              <w:top w:val="single" w:sz="4" w:color="C8D5D8"/>
              <w:left w:val="single" w:sz="4" w:color="C8D5D8"/>
              <w:bottom w:val="single" w:sz="4" w:color="C8D5D8"/>
              <w:right w:val="single" w:sz="4" w:color="C8D5D8"/>
              <w:insideH w:val="single" w:sz="4" w:color="C8D5D8"/>
              <w:insideV w:val="single" w:sz="4" w:color="C8D5D8"/>
            </w:tcBorders>
          </w:tcPr>
          <w:p>
            <w:pPr>
              <w:keepNext w:val="0"/>
              <w:widowControl/>
              <w:spacing w:before="0" w:after="0" w:lineRule="auto" w:line="252"/>
              <w:jc w:val="left"/>
            </w:pPr>
            <w:r>
              <w:rPr>
                <w:rFonts w:ascii="Calibri" w:hAnsi="Calibri" w:eastAsia="Calibri"/>
                <w:b w:val="0"/>
                <w:color w:val="152B3A"/>
                <w:sz w:val="18"/>
              </w:rPr>
              <w:t>demo/artifacts/dashboard_bundle.json</w:t>
            </w:r>
          </w:p>
        </w:tc>
      </w:tr>
    </w:tbl>
    <w:p>
      <w:pPr>
        <w:keepNext w:val="0"/>
        <w:widowControl/>
        <w:spacing w:before="0" w:after="40" w:lineRule="auto" w:line="240"/>
      </w:pPr>
    </w:p>
    <w:p>
      <w:pPr>
        <w:pStyle w:val="Heading2"/>
        <w:keepNext/>
        <w:widowControl/>
        <w:spacing w:before="160" w:after="80" w:lineRule="auto" w:line="240"/>
      </w:pPr>
      <w:r>
        <w:rPr>
          <w:rFonts w:ascii="Calibri" w:hAnsi="Calibri" w:eastAsia="Calibri"/>
          <w:b/>
          <w:color w:val="0F766E"/>
          <w:sz w:val="26"/>
        </w:rPr>
        <w:t>Ek B - Kaynaklar</w:t>
      </w:r>
    </w:p>
    <w:p>
      <w:pPr>
        <w:keepNext w:val="0"/>
        <w:widowControl/>
        <w:spacing w:before="0" w:after="80" w:lineRule="auto" w:line="252"/>
      </w:pPr>
      <w:r>
        <w:rPr>
          <w:rFonts w:ascii="Calibri" w:hAnsi="Calibri" w:eastAsia="Calibri"/>
          <w:b/>
          <w:color w:val="152B3A"/>
          <w:sz w:val="20"/>
        </w:rPr>
        <w:t xml:space="preserve">Canlı uygulama: </w:t>
      </w:r>
      <w:hyperlink r:id="rId13">
        <w:r>
          <w:rPr>
            <w:rFonts w:ascii="Calibri" w:hAnsi="Calibri"/>
            <w:color w:val="0F766E"/>
            <w:u w:val="single"/>
          </w:rPr>
          <w:t>https://sicai17capstonegroup3-azala6r97tsxkq7fu2loga.streamlit.app/?view=home</w:t>
        </w:r>
      </w:hyperlink>
    </w:p>
    <w:p>
      <w:pPr>
        <w:keepNext w:val="0"/>
        <w:widowControl/>
        <w:spacing w:before="0" w:after="80" w:lineRule="auto" w:line="252"/>
      </w:pPr>
      <w:r>
        <w:rPr>
          <w:rFonts w:ascii="Calibri" w:hAnsi="Calibri" w:eastAsia="Calibri"/>
          <w:b/>
          <w:color w:val="152B3A"/>
          <w:sz w:val="20"/>
        </w:rPr>
        <w:t xml:space="preserve">Ana GitHub deposu: </w:t>
      </w:r>
      <w:hyperlink r:id="rId14">
        <w:r>
          <w:rPr>
            <w:rFonts w:ascii="Calibri" w:hAnsi="Calibri"/>
            <w:color w:val="0F766E"/>
            <w:u w:val="single"/>
          </w:rPr>
          <w:t>https://github.com/edasaruhan/SIC_AI_17_Capstone_Group_3</w:t>
        </w:r>
      </w:hyperlink>
    </w:p>
    <w:p>
      <w:pPr>
        <w:keepNext w:val="0"/>
        <w:widowControl/>
        <w:spacing w:before="0" w:after="80" w:lineRule="auto" w:line="252"/>
      </w:pPr>
      <w:r>
        <w:rPr>
          <w:rFonts w:ascii="Calibri" w:hAnsi="Calibri" w:eastAsia="Calibri"/>
          <w:b/>
          <w:color w:val="152B3A"/>
          <w:sz w:val="20"/>
        </w:rPr>
        <w:t xml:space="preserve">Yayın kaynağı: </w:t>
      </w:r>
      <w:hyperlink r:id="rId15">
        <w:r>
          <w:rPr>
            <w:rFonts w:ascii="Calibri" w:hAnsi="Calibri"/>
            <w:color w:val="0F766E"/>
            <w:u w:val="single"/>
          </w:rPr>
          <w:t>https://github.com/aaayseee/SIC_AI_17_Capstone_Group_3</w:t>
        </w:r>
      </w:hyperlink>
    </w:p>
    <w:p>
      <w:pPr>
        <w:keepNext w:val="0"/>
        <w:widowControl/>
        <w:spacing w:before="0" w:after="120" w:lineRule="auto" w:line="252"/>
      </w:pPr>
      <w:r>
        <w:rPr>
          <w:rFonts w:ascii="Calibri" w:hAnsi="Calibri" w:eastAsia="Calibri"/>
          <w:i w:val="0"/>
          <w:color w:val="152B3A"/>
          <w:sz w:val="19"/>
        </w:rPr>
        <w:t>Depo içi başlıca kanıtlar: `README.md`, `docs/MODEL_CARD.md`, `docs/EXPERIMENT_PROTOCOL.md`, `docs/PROJECT_SPEC.md`, `reports/generated/FINAL_MODEL_COMPARISON.md`.</w:t>
      </w:r>
    </w:p>
    <w:p>
      <w:pPr>
        <w:pStyle w:val="Heading2"/>
        <w:keepNext/>
        <w:widowControl/>
        <w:spacing w:before="160" w:after="80" w:lineRule="auto" w:line="240"/>
      </w:pPr>
      <w:r>
        <w:rPr>
          <w:rFonts w:ascii="Calibri" w:hAnsi="Calibri" w:eastAsia="Calibri"/>
          <w:b/>
          <w:color w:val="0F766E"/>
          <w:sz w:val="26"/>
        </w:rPr>
        <w:t>Ek C - Sorumlu kullanım özeti</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IBM AML HI-Small sentetik bir veri kümesidir; gerçek banka performansını kanıtlamaz.</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Skorlar kalibre edilmiş suç olasılığı değildir ve otomatik olumsuz işlem için kullanılamaz.</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GraphSAGE sonucu sınırlı, deterministik örnekleme protokolüne aittir.</w:t>
      </w:r>
    </w:p>
    <w:p>
      <w:pPr>
        <w:keepNext w:val="0"/>
        <w:widowControl/>
        <w:spacing w:before="0" w:after="80" w:lineRule="auto" w:line="264"/>
        <w:ind w:left="720" w:hanging="360"/>
      </w:pPr>
      <w:r>
        <w:rPr>
          <w:rFonts w:ascii="Calibri" w:hAnsi="Calibri" w:eastAsia="Calibri"/>
          <w:b/>
          <w:color w:val="0F766E"/>
          <w:sz w:val="19"/>
        </w:rPr>
        <w:t xml:space="preserve">• </w:t>
      </w:r>
      <w:r>
        <w:rPr>
          <w:rFonts w:ascii="Calibri" w:hAnsi="Calibri" w:eastAsia="Calibri"/>
          <w:color w:val="152B3A"/>
          <w:sz w:val="19"/>
        </w:rPr>
        <w:t>Her vaka kaynak kayıtlarla birlikte eğitimli analist tarafından incelenmelidir.</w:t>
      </w:r>
    </w:p>
    <w:sectPr w:rsidR="00FC693F" w:rsidRPr="0006063C" w:rsidSect="00034616">
      <w:headerReference w:type="default" r:id="rId9"/>
      <w:footerReference w:type="default" r:id="rId10"/>
      <w:headerReference w:type="first" r:id="rId11"/>
      <w:footerReference w:type="first" r:id="rId12"/>
      <w:pgSz w:w="11906" w:h="16838"/>
      <w:pgMar w:top="1276" w:right="1276" w:bottom="1276" w:left="1276"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Calibri" w:hAnsi="Calibri" w:eastAsia="Calibri"/>
        <w:color w:val="5B6870"/>
        <w:sz w:val="16"/>
      </w:rPr>
      <w:t xml:space="preserve">Samsung Innovation Campus 2025-2026 · Grup 3   |   Sayfa </w:t>
    </w:r>
    <w:r>
      <w:rPr>
        <w:rFonts w:ascii="Calibri" w:hAnsi="Calibri" w:eastAsia="Calibri"/>
        <w:color w:val="5B6870"/>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Rule="auto" w:line="240"/>
      <w:jc w:val="left"/>
      <w:pBdr>
        <w:bottom w:val="single" w:sz="4" w:color="C8D5D8" w:space="4"/>
      </w:pBdr>
    </w:pPr>
    <w:r>
      <w:rPr>
        <w:rFonts w:ascii="Calibri" w:hAnsi="Calibri" w:eastAsia="Calibri"/>
        <w:b/>
        <w:color w:val="071C2C"/>
        <w:sz w:val="17"/>
      </w:rPr>
      <w:t>ARGUS AI</w:t>
    </w:r>
    <w:r>
      <w:t xml:space="preserve">                </w:t>
    </w:r>
    <w:r>
      <w:rPr>
        <w:rFonts w:ascii="Calibri" w:hAnsi="Calibri" w:eastAsia="Calibri"/>
        <w:b/>
        <w:color w:val="0F766E"/>
        <w:sz w:val="17"/>
      </w:rPr>
      <w:t>DEPLOYMENT SUBMISSION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Calibri" w:hAnsi="Calibri"/>
      <w:color w:val="152B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71C2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71C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0"/>
    </w:rPr>
  </w:style>
  <w:style w:type="paragraph" w:styleId="ListBullet2">
    <w:name w:val="List Bullet 2"/>
    <w:basedOn w:val="Normal"/>
    <w:uiPriority w:val="99"/>
    <w:unhideWhenUsed/>
    <w:rsid w:val="00326F90"/>
    <w:pPr>
      <w:numPr>
        <w:numId w:val="2"/>
      </w:numPr>
      <w:spacing w:after="80" w:line="264" w:lineRule="auto"/>
      <w:ind w:left="1080" w:hanging="36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sicai17capstonegroup3-azala6r97tsxkq7fu2loga.streamlit.app/?view=home" TargetMode="External"/><Relationship Id="rId14" Type="http://schemas.openxmlformats.org/officeDocument/2006/relationships/hyperlink" Target="https://github.com/edasaruhan/SIC_AI_17_Capstone_Group_3" TargetMode="External"/><Relationship Id="rId15" Type="http://schemas.openxmlformats.org/officeDocument/2006/relationships/hyperlink" Target="https://github.com/aaayseee/SIC_AI_17_Capstone_Group_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ARGUS AI - Deployment Submission</dc:title>
  <dc:subject>Makine öğrenmesi projesi deployment dokümantasyonu</dc:subject>
  <dc:creator>Gizem Özcan; Ayşe Ulaşlı</dc:creator>
  <cp:keywords>ARGUS AI, deployment, Streamlit, LightGBM, GraphSAGE, AML</cp:keywords>
  <dc:description>Samsung Innovation Campus 2025-2026 Capstone Project</dc:description>
  <cp:lastModifiedBy/>
  <cp:revision>1</cp:revision>
  <dcterms:created xsi:type="dcterms:W3CDTF">2013-12-23T23:15:00Z</dcterms:created>
  <dcterms:modified xsi:type="dcterms:W3CDTF">2013-12-23T23:15:00Z</dcterms:modified>
  <cp:category/>
</cp:coreProperties>
</file>